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4DD19" w14:textId="6DA21BB2" w:rsidR="00547847" w:rsidRDefault="00547847" w:rsidP="008B6E19">
      <w:pPr>
        <w:jc w:val="center"/>
        <w:rPr>
          <w:lang w:val="en-US"/>
        </w:rPr>
      </w:pPr>
    </w:p>
    <w:p w14:paraId="789E86A2" w14:textId="77777777" w:rsidR="003F6E77" w:rsidRDefault="003F6E77" w:rsidP="008B6E19">
      <w:pPr>
        <w:jc w:val="center"/>
        <w:rPr>
          <w:lang w:val="en-US"/>
        </w:rPr>
      </w:pPr>
    </w:p>
    <w:tbl>
      <w:tblPr>
        <w:tblStyle w:val="TableGrid"/>
        <w:tblW w:w="0" w:type="auto"/>
        <w:tblLook w:val="04A0" w:firstRow="1" w:lastRow="0" w:firstColumn="1" w:lastColumn="0" w:noHBand="0" w:noVBand="1"/>
      </w:tblPr>
      <w:tblGrid>
        <w:gridCol w:w="6973"/>
        <w:gridCol w:w="6974"/>
        <w:gridCol w:w="6974"/>
      </w:tblGrid>
      <w:tr w:rsidR="000E7926" w14:paraId="6E76D26F" w14:textId="77777777" w:rsidTr="000E7926">
        <w:tc>
          <w:tcPr>
            <w:tcW w:w="6973" w:type="dxa"/>
          </w:tcPr>
          <w:p w14:paraId="158437A4" w14:textId="4536DEAD" w:rsidR="000E7926" w:rsidRPr="00A350E1" w:rsidRDefault="00C71F13" w:rsidP="008B6E19">
            <w:pPr>
              <w:jc w:val="center"/>
              <w:rPr>
                <w:b/>
                <w:lang w:val="en-US"/>
              </w:rPr>
            </w:pPr>
            <w:proofErr w:type="gramStart"/>
            <w:r w:rsidRPr="00A350E1">
              <w:rPr>
                <w:b/>
                <w:lang w:val="en-US"/>
              </w:rPr>
              <w:t>At a glance</w:t>
            </w:r>
            <w:proofErr w:type="gramEnd"/>
            <w:r w:rsidRPr="00A350E1">
              <w:rPr>
                <w:b/>
                <w:lang w:val="en-US"/>
              </w:rPr>
              <w:t xml:space="preserve"> </w:t>
            </w:r>
          </w:p>
        </w:tc>
        <w:tc>
          <w:tcPr>
            <w:tcW w:w="6974" w:type="dxa"/>
          </w:tcPr>
          <w:p w14:paraId="0C5750BE" w14:textId="4697A96F" w:rsidR="000E7926" w:rsidRPr="00A350E1" w:rsidRDefault="00C71F13" w:rsidP="008B6E19">
            <w:pPr>
              <w:jc w:val="center"/>
              <w:rPr>
                <w:b/>
                <w:lang w:val="en-US"/>
              </w:rPr>
            </w:pPr>
            <w:r w:rsidRPr="00A350E1">
              <w:rPr>
                <w:b/>
                <w:lang w:val="en-US"/>
              </w:rPr>
              <w:t xml:space="preserve">Commonwealth key points </w:t>
            </w:r>
          </w:p>
        </w:tc>
        <w:tc>
          <w:tcPr>
            <w:tcW w:w="6974" w:type="dxa"/>
          </w:tcPr>
          <w:p w14:paraId="0CC14B6A" w14:textId="6A63482A" w:rsidR="000E7926" w:rsidRPr="00A350E1" w:rsidRDefault="00C71F13" w:rsidP="008B6E19">
            <w:pPr>
              <w:jc w:val="center"/>
              <w:rPr>
                <w:b/>
                <w:lang w:val="en-US"/>
              </w:rPr>
            </w:pPr>
            <w:r w:rsidRPr="00A350E1">
              <w:rPr>
                <w:b/>
                <w:lang w:val="en-US"/>
              </w:rPr>
              <w:t xml:space="preserve">ACT key points </w:t>
            </w:r>
          </w:p>
        </w:tc>
      </w:tr>
      <w:tr w:rsidR="000E7926" w14:paraId="7B2CFA08" w14:textId="77777777" w:rsidTr="000E7926">
        <w:tc>
          <w:tcPr>
            <w:tcW w:w="6973" w:type="dxa"/>
          </w:tcPr>
          <w:p w14:paraId="0CE991FF" w14:textId="6D1C3A62" w:rsidR="00A476FF" w:rsidRDefault="000C0983" w:rsidP="000C0983">
            <w:pPr>
              <w:rPr>
                <w:lang w:val="en-US"/>
              </w:rPr>
            </w:pPr>
            <w:r w:rsidRPr="000C0983">
              <w:rPr>
                <w:lang w:val="en-US"/>
              </w:rPr>
              <w:t xml:space="preserve">At the </w:t>
            </w:r>
            <w:r w:rsidR="00A476FF" w:rsidRPr="000C0983">
              <w:rPr>
                <w:lang w:val="en-US"/>
              </w:rPr>
              <w:t>Commonwealth</w:t>
            </w:r>
            <w:r w:rsidRPr="000C0983">
              <w:rPr>
                <w:lang w:val="en-US"/>
              </w:rPr>
              <w:t xml:space="preserve"> level</w:t>
            </w:r>
            <w:r w:rsidR="00B43204">
              <w:rPr>
                <w:lang w:val="en-US"/>
              </w:rPr>
              <w:t xml:space="preserve"> – 172 total recommendations</w:t>
            </w:r>
            <w:r w:rsidR="005308A5">
              <w:rPr>
                <w:lang w:val="en-US"/>
              </w:rPr>
              <w:t xml:space="preserve"> of which:</w:t>
            </w:r>
            <w:r w:rsidR="00A476FF" w:rsidRPr="000C0983">
              <w:rPr>
                <w:lang w:val="en-US"/>
              </w:rPr>
              <w:t xml:space="preserve"> </w:t>
            </w:r>
          </w:p>
          <w:p w14:paraId="796D7485" w14:textId="096B2E19" w:rsidR="00C71F13" w:rsidRPr="00C71F13" w:rsidRDefault="00C71F13" w:rsidP="00C71F13">
            <w:pPr>
              <w:pStyle w:val="ListParagraph"/>
              <w:numPr>
                <w:ilvl w:val="0"/>
                <w:numId w:val="1"/>
              </w:numPr>
              <w:rPr>
                <w:lang w:val="en-US"/>
              </w:rPr>
            </w:pPr>
            <w:r w:rsidRPr="00C71F13">
              <w:rPr>
                <w:lang w:val="en-US"/>
              </w:rPr>
              <w:t xml:space="preserve">Accepted 13 recommendations: Accepts or </w:t>
            </w:r>
            <w:proofErr w:type="gramStart"/>
            <w:r w:rsidRPr="00C71F13">
              <w:rPr>
                <w:lang w:val="en-US"/>
              </w:rPr>
              <w:t>support</w:t>
            </w:r>
            <w:proofErr w:type="gramEnd"/>
            <w:r w:rsidRPr="00C71F13">
              <w:rPr>
                <w:lang w:val="en-US"/>
              </w:rPr>
              <w:t xml:space="preserve"> the recommendation in full.</w:t>
            </w:r>
          </w:p>
          <w:p w14:paraId="0C60DA3C" w14:textId="75A24855" w:rsidR="00C71F13" w:rsidRPr="00C71F13" w:rsidRDefault="00C71F13" w:rsidP="00C71F13">
            <w:pPr>
              <w:pStyle w:val="ListParagraph"/>
              <w:numPr>
                <w:ilvl w:val="0"/>
                <w:numId w:val="1"/>
              </w:numPr>
              <w:rPr>
                <w:lang w:val="en-US"/>
              </w:rPr>
            </w:pPr>
            <w:r w:rsidRPr="00C71F13">
              <w:rPr>
                <w:lang w:val="en-US"/>
              </w:rPr>
              <w:t>Accepted in principle 117 recommendations: Accepts or supports the intent but may consider different implementation.</w:t>
            </w:r>
          </w:p>
          <w:p w14:paraId="0A0ABCCB" w14:textId="2885F175" w:rsidR="00C71F13" w:rsidRPr="00C71F13" w:rsidRDefault="00C71F13" w:rsidP="00C71F13">
            <w:pPr>
              <w:pStyle w:val="ListParagraph"/>
              <w:numPr>
                <w:ilvl w:val="0"/>
                <w:numId w:val="1"/>
              </w:numPr>
              <w:rPr>
                <w:lang w:val="en-US"/>
              </w:rPr>
            </w:pPr>
            <w:r w:rsidRPr="00C71F13">
              <w:rPr>
                <w:lang w:val="en-US"/>
              </w:rPr>
              <w:t xml:space="preserve">For further consideration 36 recommendations: No position </w:t>
            </w:r>
            <w:proofErr w:type="gramStart"/>
            <w:r w:rsidRPr="00C71F13">
              <w:rPr>
                <w:lang w:val="en-US"/>
              </w:rPr>
              <w:t>formed</w:t>
            </w:r>
            <w:proofErr w:type="gramEnd"/>
            <w:r w:rsidRPr="00C71F13">
              <w:rPr>
                <w:lang w:val="en-US"/>
              </w:rPr>
              <w:t xml:space="preserve"> yet, which may be due to ongoing inquiries or a need for further consultation.</w:t>
            </w:r>
          </w:p>
          <w:p w14:paraId="50A76395" w14:textId="077130C5" w:rsidR="000E7926" w:rsidRDefault="00C71F13" w:rsidP="00C71F13">
            <w:pPr>
              <w:pStyle w:val="ListParagraph"/>
              <w:numPr>
                <w:ilvl w:val="0"/>
                <w:numId w:val="1"/>
              </w:numPr>
              <w:rPr>
                <w:lang w:val="en-US"/>
              </w:rPr>
            </w:pPr>
            <w:r w:rsidRPr="00C71F13">
              <w:rPr>
                <w:lang w:val="en-US"/>
              </w:rPr>
              <w:t xml:space="preserve">Noted </w:t>
            </w:r>
            <w:r w:rsidR="006E2751">
              <w:rPr>
                <w:lang w:val="en-US"/>
              </w:rPr>
              <w:t>6</w:t>
            </w:r>
            <w:r w:rsidRPr="00C71F13">
              <w:rPr>
                <w:lang w:val="en-US"/>
              </w:rPr>
              <w:t xml:space="preserve"> recommendations: Used for recommendations where "it would not be appropriate to indicate acceptance or rejection", which may be due to them being outside the federal government's remit</w:t>
            </w:r>
          </w:p>
          <w:p w14:paraId="7C2FF0B4" w14:textId="77777777" w:rsidR="00AA1A8D" w:rsidRDefault="00AA1A8D" w:rsidP="00AA1A8D">
            <w:pPr>
              <w:rPr>
                <w:lang w:val="en-US"/>
              </w:rPr>
            </w:pPr>
            <w:r>
              <w:rPr>
                <w:lang w:val="en-US"/>
              </w:rPr>
              <w:t>At the ACT level:</w:t>
            </w:r>
          </w:p>
          <w:p w14:paraId="1E890A79" w14:textId="77777777" w:rsidR="00A476FF" w:rsidRDefault="00F4545F" w:rsidP="00DC1EBE">
            <w:pPr>
              <w:pStyle w:val="ListParagraph"/>
              <w:numPr>
                <w:ilvl w:val="0"/>
                <w:numId w:val="3"/>
              </w:numPr>
              <w:rPr>
                <w:lang w:val="en-US"/>
              </w:rPr>
            </w:pPr>
            <w:r>
              <w:rPr>
                <w:lang w:val="en-US"/>
              </w:rPr>
              <w:t>Accepted 19 recommendations</w:t>
            </w:r>
          </w:p>
          <w:p w14:paraId="76C23DE7" w14:textId="77777777" w:rsidR="00290C1C" w:rsidRDefault="00290C1C" w:rsidP="00DC1EBE">
            <w:pPr>
              <w:pStyle w:val="ListParagraph"/>
              <w:numPr>
                <w:ilvl w:val="0"/>
                <w:numId w:val="3"/>
              </w:numPr>
              <w:rPr>
                <w:lang w:val="en-US"/>
              </w:rPr>
            </w:pPr>
            <w:r>
              <w:rPr>
                <w:lang w:val="en-US"/>
              </w:rPr>
              <w:t>Accepted in principle 93 recommendations</w:t>
            </w:r>
          </w:p>
          <w:p w14:paraId="03709046" w14:textId="77777777" w:rsidR="00290C1C" w:rsidRDefault="00CB1152" w:rsidP="00DC1EBE">
            <w:pPr>
              <w:pStyle w:val="ListParagraph"/>
              <w:numPr>
                <w:ilvl w:val="0"/>
                <w:numId w:val="3"/>
              </w:numPr>
              <w:rPr>
                <w:lang w:val="en-US"/>
              </w:rPr>
            </w:pPr>
            <w:r>
              <w:rPr>
                <w:lang w:val="en-US"/>
              </w:rPr>
              <w:t>For further consideration 15 recommendations</w:t>
            </w:r>
          </w:p>
          <w:p w14:paraId="5F73DD9D" w14:textId="4C7557C9" w:rsidR="00A476FF" w:rsidRPr="00C71F13" w:rsidRDefault="00825369" w:rsidP="00DC1EBE">
            <w:pPr>
              <w:pStyle w:val="ListParagraph"/>
              <w:numPr>
                <w:ilvl w:val="0"/>
                <w:numId w:val="3"/>
              </w:numPr>
              <w:rPr>
                <w:lang w:val="en-US"/>
              </w:rPr>
            </w:pPr>
            <w:r>
              <w:rPr>
                <w:lang w:val="en-US"/>
              </w:rPr>
              <w:t>Noted 2 recommendations</w:t>
            </w:r>
          </w:p>
        </w:tc>
        <w:tc>
          <w:tcPr>
            <w:tcW w:w="6974" w:type="dxa"/>
          </w:tcPr>
          <w:p w14:paraId="390299C8" w14:textId="77777777" w:rsidR="00643A51" w:rsidRPr="00201A46" w:rsidRDefault="00643A51" w:rsidP="00643A51">
            <w:pPr>
              <w:pStyle w:val="ListParagraph"/>
              <w:numPr>
                <w:ilvl w:val="0"/>
                <w:numId w:val="1"/>
              </w:numPr>
              <w:rPr>
                <w:rFonts w:cstheme="minorHAnsi"/>
                <w:lang w:val="en-US"/>
              </w:rPr>
            </w:pPr>
            <w:r w:rsidRPr="00201A46">
              <w:rPr>
                <w:rFonts w:eastAsia="Times New Roman" w:cstheme="minorHAnsi"/>
                <w:color w:val="000000"/>
                <w:kern w:val="0"/>
                <w:bdr w:val="none" w:sz="0" w:space="0" w:color="auto" w:frame="1"/>
                <w14:ligatures w14:val="none"/>
              </w:rPr>
              <w:t>They maintain that out of the 222 DRC Recommendations, they have:</w:t>
            </w:r>
          </w:p>
          <w:p w14:paraId="33D25BCF" w14:textId="03A3D759" w:rsidR="00643A51" w:rsidRPr="005B0867" w:rsidRDefault="00643A51" w:rsidP="00643A51">
            <w:pPr>
              <w:numPr>
                <w:ilvl w:val="1"/>
                <w:numId w:val="1"/>
              </w:numPr>
              <w:shd w:val="clear" w:color="auto" w:fill="FFFFFF"/>
              <w:rPr>
                <w:rFonts w:eastAsia="Times New Roman" w:cstheme="minorHAnsi"/>
                <w:color w:val="000000"/>
                <w:kern w:val="0"/>
                <w14:ligatures w14:val="none"/>
              </w:rPr>
            </w:pPr>
            <w:r w:rsidRPr="005B0867">
              <w:rPr>
                <w:rFonts w:eastAsia="Times New Roman" w:cstheme="minorHAnsi"/>
                <w:color w:val="000000"/>
                <w:kern w:val="0"/>
                <w:bdr w:val="none" w:sz="0" w:space="0" w:color="auto" w:frame="1"/>
                <w14:ligatures w14:val="none"/>
              </w:rPr>
              <w:t>Direct responsibility for 84</w:t>
            </w:r>
          </w:p>
          <w:p w14:paraId="2818D8FC" w14:textId="3F892FD3" w:rsidR="00643A51" w:rsidRPr="005B0867" w:rsidRDefault="00643A51" w:rsidP="00643A51">
            <w:pPr>
              <w:numPr>
                <w:ilvl w:val="1"/>
                <w:numId w:val="1"/>
              </w:numPr>
              <w:shd w:val="clear" w:color="auto" w:fill="FFFFFF"/>
              <w:rPr>
                <w:rFonts w:eastAsia="Times New Roman" w:cstheme="minorHAnsi"/>
                <w:color w:val="000000"/>
                <w:kern w:val="0"/>
                <w14:ligatures w14:val="none"/>
              </w:rPr>
            </w:pPr>
            <w:r w:rsidRPr="005B0867">
              <w:rPr>
                <w:rFonts w:eastAsia="Times New Roman" w:cstheme="minorHAnsi"/>
                <w:color w:val="000000"/>
                <w:kern w:val="0"/>
                <w:bdr w:val="none" w:sz="0" w:space="0" w:color="auto" w:frame="1"/>
                <w14:ligatures w14:val="none"/>
              </w:rPr>
              <w:t>Joint responsibility with States &amp; Territories for 85</w:t>
            </w:r>
          </w:p>
          <w:p w14:paraId="29164B55" w14:textId="0CFC77DD" w:rsidR="00643A51" w:rsidRPr="00643A51" w:rsidRDefault="00643A51" w:rsidP="00643A51">
            <w:pPr>
              <w:numPr>
                <w:ilvl w:val="1"/>
                <w:numId w:val="1"/>
              </w:numPr>
              <w:shd w:val="clear" w:color="auto" w:fill="FFFFFF"/>
              <w:rPr>
                <w:rFonts w:eastAsia="Times New Roman" w:cstheme="minorHAnsi"/>
                <w:color w:val="000000"/>
                <w:kern w:val="0"/>
                <w14:ligatures w14:val="none"/>
              </w:rPr>
            </w:pPr>
            <w:r w:rsidRPr="005B0867">
              <w:rPr>
                <w:rFonts w:eastAsia="Times New Roman" w:cstheme="minorHAnsi"/>
                <w:color w:val="000000"/>
                <w:kern w:val="0"/>
                <w:bdr w:val="none" w:sz="0" w:space="0" w:color="auto" w:frame="1"/>
                <w14:ligatures w14:val="none"/>
              </w:rPr>
              <w:t>No responsibility for 50 (State &amp; Territory matters)</w:t>
            </w:r>
          </w:p>
          <w:p w14:paraId="6A2AE173" w14:textId="77777777" w:rsidR="00643A51" w:rsidRPr="00643A51" w:rsidRDefault="00643A51" w:rsidP="00643A51">
            <w:pPr>
              <w:numPr>
                <w:ilvl w:val="1"/>
                <w:numId w:val="1"/>
              </w:numPr>
              <w:shd w:val="clear" w:color="auto" w:fill="FFFFFF"/>
              <w:rPr>
                <w:rFonts w:eastAsia="Times New Roman" w:cstheme="minorHAnsi"/>
                <w:color w:val="000000"/>
                <w:kern w:val="0"/>
                <w14:ligatures w14:val="none"/>
              </w:rPr>
            </w:pPr>
            <w:r w:rsidRPr="00643A51">
              <w:rPr>
                <w:rFonts w:eastAsia="Times New Roman" w:cstheme="minorHAnsi"/>
                <w:color w:val="000000"/>
                <w:kern w:val="0"/>
                <w:bdr w:val="none" w:sz="0" w:space="0" w:color="auto" w:frame="1"/>
                <w14:ligatures w14:val="none"/>
              </w:rPr>
              <w:t>And 3 classified as “Other”.</w:t>
            </w:r>
          </w:p>
          <w:p w14:paraId="6C987BA9" w14:textId="049875A5" w:rsidR="00402B0F" w:rsidRPr="002C7236" w:rsidRDefault="00402B0F" w:rsidP="00643A51">
            <w:pPr>
              <w:pStyle w:val="ListParagraph"/>
              <w:numPr>
                <w:ilvl w:val="0"/>
                <w:numId w:val="1"/>
              </w:numPr>
              <w:shd w:val="clear" w:color="auto" w:fill="FFFFFF"/>
              <w:rPr>
                <w:rFonts w:eastAsia="Times New Roman" w:cstheme="minorHAnsi"/>
                <w:color w:val="000000"/>
                <w:kern w:val="0"/>
                <w14:ligatures w14:val="none"/>
              </w:rPr>
            </w:pPr>
            <w:r w:rsidRPr="002C7236">
              <w:rPr>
                <w:lang w:val="en-US"/>
              </w:rPr>
              <w:t>There is no commitment to a Federal Disability Minister or Disability Department</w:t>
            </w:r>
            <w:r w:rsidR="00643A51">
              <w:rPr>
                <w:lang w:val="en-US"/>
              </w:rPr>
              <w:t>. No new governance arrangements.</w:t>
            </w:r>
            <w:r w:rsidRPr="002C7236">
              <w:rPr>
                <w:lang w:val="en-US"/>
              </w:rPr>
              <w:t xml:space="preserve"> </w:t>
            </w:r>
          </w:p>
          <w:p w14:paraId="36612C46" w14:textId="5DC048AF" w:rsidR="000E7926" w:rsidRDefault="002C3AB3" w:rsidP="002C7236">
            <w:pPr>
              <w:pStyle w:val="ListParagraph"/>
              <w:numPr>
                <w:ilvl w:val="0"/>
                <w:numId w:val="1"/>
              </w:numPr>
              <w:rPr>
                <w:lang w:val="en-US"/>
              </w:rPr>
            </w:pPr>
            <w:r w:rsidRPr="002C7236">
              <w:rPr>
                <w:lang w:val="en-US"/>
              </w:rPr>
              <w:t xml:space="preserve">The federal government has </w:t>
            </w:r>
            <w:r w:rsidRPr="002C7236">
              <w:rPr>
                <w:b/>
                <w:lang w:val="en-US"/>
              </w:rPr>
              <w:t>not</w:t>
            </w:r>
            <w:r w:rsidRPr="002C7236">
              <w:rPr>
                <w:lang w:val="en-US"/>
              </w:rPr>
              <w:t xml:space="preserve"> committed </w:t>
            </w:r>
            <w:r w:rsidR="00164BAD">
              <w:rPr>
                <w:lang w:val="en-US"/>
              </w:rPr>
              <w:t xml:space="preserve">to </w:t>
            </w:r>
            <w:r w:rsidRPr="002C7236">
              <w:rPr>
                <w:lang w:val="en-US"/>
              </w:rPr>
              <w:t>phasing out special schools, group homes and segregated employment.</w:t>
            </w:r>
          </w:p>
          <w:p w14:paraId="0EF0BC45" w14:textId="0DD50BEC" w:rsidR="00101B1A" w:rsidRPr="00101B1A" w:rsidRDefault="00101B1A" w:rsidP="00101B1A">
            <w:pPr>
              <w:pStyle w:val="ListParagraph"/>
              <w:numPr>
                <w:ilvl w:val="0"/>
                <w:numId w:val="1"/>
              </w:numPr>
              <w:rPr>
                <w:lang w:val="en-US"/>
              </w:rPr>
            </w:pPr>
            <w:r w:rsidRPr="00101B1A">
              <w:rPr>
                <w:lang w:val="en-US"/>
              </w:rPr>
              <w:t xml:space="preserve">Recommendations accepted in principle include those to strengthen the Disability Discrimination Act, and improve access to information and interpreters, including </w:t>
            </w:r>
            <w:proofErr w:type="spellStart"/>
            <w:r w:rsidRPr="00101B1A">
              <w:rPr>
                <w:lang w:val="en-US"/>
              </w:rPr>
              <w:t>Auslan</w:t>
            </w:r>
            <w:proofErr w:type="spellEnd"/>
            <w:r w:rsidRPr="00101B1A">
              <w:rPr>
                <w:lang w:val="en-US"/>
              </w:rPr>
              <w:t>.</w:t>
            </w:r>
          </w:p>
          <w:p w14:paraId="7B09C273" w14:textId="19B479D8" w:rsidR="00101B1A" w:rsidRPr="002C7236" w:rsidRDefault="00101B1A" w:rsidP="00643A51">
            <w:pPr>
              <w:pStyle w:val="ListParagraph"/>
              <w:numPr>
                <w:ilvl w:val="0"/>
                <w:numId w:val="1"/>
              </w:numPr>
              <w:rPr>
                <w:lang w:val="en-US"/>
              </w:rPr>
            </w:pPr>
            <w:r w:rsidRPr="00101B1A">
              <w:rPr>
                <w:lang w:val="en-US"/>
              </w:rPr>
              <w:t xml:space="preserve">The government has pledged $369 million towards this initial response, $227.6 million of which is for an employment program already announced in the May federal budget </w:t>
            </w:r>
            <w:proofErr w:type="gramStart"/>
            <w:r w:rsidRPr="00101B1A">
              <w:rPr>
                <w:lang w:val="en-US"/>
              </w:rPr>
              <w:t>and also</w:t>
            </w:r>
            <w:proofErr w:type="gramEnd"/>
            <w:r w:rsidRPr="00101B1A">
              <w:rPr>
                <w:lang w:val="en-US"/>
              </w:rPr>
              <w:t xml:space="preserve"> includes $12 million to amend the Migration Health Requirement and $20 million for "grassroots efforts to improve community attitudes around disability".</w:t>
            </w:r>
          </w:p>
        </w:tc>
        <w:tc>
          <w:tcPr>
            <w:tcW w:w="6974" w:type="dxa"/>
          </w:tcPr>
          <w:p w14:paraId="504641D2" w14:textId="77777777" w:rsidR="000E7926" w:rsidRPr="00844546" w:rsidRDefault="005E1D10" w:rsidP="00063E1A">
            <w:pPr>
              <w:pStyle w:val="ListParagraph"/>
              <w:numPr>
                <w:ilvl w:val="0"/>
                <w:numId w:val="1"/>
              </w:numPr>
              <w:rPr>
                <w:lang w:val="en-US"/>
              </w:rPr>
            </w:pPr>
            <w:r>
              <w:t>ACT</w:t>
            </w:r>
            <w:r w:rsidR="00844546">
              <w:t xml:space="preserve"> </w:t>
            </w:r>
            <w:r w:rsidRPr="005E1D10">
              <w:t>response sets out the ACT Government’s position on all 129 recommendations made by the Disability Royal Commission that it is responsible for</w:t>
            </w:r>
            <w:r w:rsidR="00844546">
              <w:t>.</w:t>
            </w:r>
          </w:p>
          <w:p w14:paraId="58FC614C" w14:textId="26BE0968" w:rsidR="00B62802" w:rsidRPr="00407AA8" w:rsidRDefault="00B62802" w:rsidP="00B62802">
            <w:pPr>
              <w:pStyle w:val="ListParagraph"/>
              <w:numPr>
                <w:ilvl w:val="0"/>
                <w:numId w:val="1"/>
              </w:numPr>
              <w:rPr>
                <w:b/>
                <w:bCs/>
                <w:lang w:val="en-US"/>
              </w:rPr>
            </w:pPr>
            <w:r w:rsidRPr="00B62802">
              <w:t xml:space="preserve">The ACT Government has not rejected any of the recommendations and is </w:t>
            </w:r>
            <w:r w:rsidR="00556840">
              <w:t>‘</w:t>
            </w:r>
            <w:r w:rsidRPr="00B62802">
              <w:t>working closely with the Commonwealth and all states and territories on recommendations that require a national response</w:t>
            </w:r>
            <w:r>
              <w:t>.</w:t>
            </w:r>
            <w:r w:rsidR="00556840">
              <w:t>’</w:t>
            </w:r>
          </w:p>
          <w:p w14:paraId="0C00E5B0" w14:textId="2ED46AFF" w:rsidR="00224D3D" w:rsidRPr="00224D3D" w:rsidRDefault="00224D3D" w:rsidP="00B62802">
            <w:pPr>
              <w:pStyle w:val="ListParagraph"/>
              <w:numPr>
                <w:ilvl w:val="0"/>
                <w:numId w:val="1"/>
              </w:numPr>
              <w:rPr>
                <w:b/>
                <w:bCs/>
                <w:lang w:val="en-US"/>
              </w:rPr>
            </w:pPr>
            <w:r>
              <w:rPr>
                <w:lang w:val="en-US"/>
              </w:rPr>
              <w:t>Overall, the ACT Government has:</w:t>
            </w:r>
          </w:p>
          <w:p w14:paraId="3D65CBE2" w14:textId="0350E869" w:rsidR="00224D3D" w:rsidRPr="004812FA" w:rsidRDefault="00224D3D" w:rsidP="00224D3D">
            <w:pPr>
              <w:pStyle w:val="ListParagraph"/>
              <w:numPr>
                <w:ilvl w:val="1"/>
                <w:numId w:val="1"/>
              </w:numPr>
              <w:rPr>
                <w:b/>
                <w:bCs/>
                <w:lang w:val="en-US"/>
              </w:rPr>
            </w:pPr>
            <w:r>
              <w:rPr>
                <w:lang w:val="en-US"/>
              </w:rPr>
              <w:t xml:space="preserve">Accepted </w:t>
            </w:r>
            <w:r w:rsidR="004812FA">
              <w:rPr>
                <w:lang w:val="en-US"/>
              </w:rPr>
              <w:t>(in full) 14.7% of recommendations</w:t>
            </w:r>
          </w:p>
          <w:p w14:paraId="19D56B0B" w14:textId="7B20048E" w:rsidR="004812FA" w:rsidRPr="002D35B3" w:rsidRDefault="004812FA" w:rsidP="00224D3D">
            <w:pPr>
              <w:pStyle w:val="ListParagraph"/>
              <w:numPr>
                <w:ilvl w:val="1"/>
                <w:numId w:val="1"/>
              </w:numPr>
              <w:rPr>
                <w:b/>
                <w:bCs/>
                <w:lang w:val="en-US"/>
              </w:rPr>
            </w:pPr>
            <w:r>
              <w:rPr>
                <w:lang w:val="en-US"/>
              </w:rPr>
              <w:t xml:space="preserve">Accepted (in principle) </w:t>
            </w:r>
            <w:r w:rsidR="002D35B3">
              <w:rPr>
                <w:lang w:val="en-US"/>
              </w:rPr>
              <w:t>72% of recommendations</w:t>
            </w:r>
          </w:p>
          <w:p w14:paraId="572372DB" w14:textId="72E9FC50" w:rsidR="002D35B3" w:rsidRPr="002D35B3" w:rsidRDefault="002D35B3" w:rsidP="00224D3D">
            <w:pPr>
              <w:pStyle w:val="ListParagraph"/>
              <w:numPr>
                <w:ilvl w:val="1"/>
                <w:numId w:val="1"/>
              </w:numPr>
              <w:rPr>
                <w:b/>
                <w:bCs/>
                <w:lang w:val="en-US"/>
              </w:rPr>
            </w:pPr>
            <w:r>
              <w:rPr>
                <w:lang w:val="en-US"/>
              </w:rPr>
              <w:t>Noted 1.5% of recommendations, and</w:t>
            </w:r>
          </w:p>
          <w:p w14:paraId="242E5674" w14:textId="21573A59" w:rsidR="002D35B3" w:rsidRPr="006A6908" w:rsidRDefault="006A0ABC" w:rsidP="00224D3D">
            <w:pPr>
              <w:pStyle w:val="ListParagraph"/>
              <w:numPr>
                <w:ilvl w:val="1"/>
                <w:numId w:val="1"/>
              </w:numPr>
              <w:rPr>
                <w:b/>
                <w:bCs/>
                <w:lang w:val="en-US"/>
              </w:rPr>
            </w:pPr>
            <w:r>
              <w:rPr>
                <w:lang w:val="en-US"/>
              </w:rPr>
              <w:t>Subjected 11.6% of recommendations to further consideration.</w:t>
            </w:r>
          </w:p>
          <w:p w14:paraId="2A3207E8" w14:textId="2531EC73" w:rsidR="006A6908" w:rsidRPr="00B13491" w:rsidRDefault="006A6908" w:rsidP="006A6908">
            <w:pPr>
              <w:pStyle w:val="ListParagraph"/>
              <w:numPr>
                <w:ilvl w:val="0"/>
                <w:numId w:val="1"/>
              </w:numPr>
              <w:rPr>
                <w:b/>
                <w:bCs/>
                <w:lang w:val="en-US"/>
              </w:rPr>
            </w:pPr>
            <w:r>
              <w:rPr>
                <w:lang w:val="en-US"/>
              </w:rPr>
              <w:t>The ACT is the only jurisdiction to fully accept</w:t>
            </w:r>
            <w:r w:rsidR="006C39CF">
              <w:rPr>
                <w:lang w:val="en-US"/>
              </w:rPr>
              <w:t xml:space="preserve"> raising the minimum age of criminal responsibility (to 14 by </w:t>
            </w:r>
            <w:r w:rsidR="00B13491">
              <w:rPr>
                <w:lang w:val="en-US"/>
              </w:rPr>
              <w:t>1 July 2025)</w:t>
            </w:r>
          </w:p>
          <w:p w14:paraId="0D7684E7" w14:textId="44B96BF7" w:rsidR="00B13491" w:rsidRPr="002C4D8C" w:rsidRDefault="002C4D8C" w:rsidP="006A6908">
            <w:pPr>
              <w:pStyle w:val="ListParagraph"/>
              <w:numPr>
                <w:ilvl w:val="0"/>
                <w:numId w:val="1"/>
              </w:numPr>
              <w:rPr>
                <w:b/>
                <w:bCs/>
                <w:lang w:val="en-US"/>
              </w:rPr>
            </w:pPr>
            <w:r>
              <w:rPr>
                <w:lang w:val="en-US"/>
              </w:rPr>
              <w:t>In contrast to the Commonwealth, the ACT accepts (in principle) the creation of a National Disability Agreement</w:t>
            </w:r>
          </w:p>
          <w:p w14:paraId="13540B30" w14:textId="195EC2B1" w:rsidR="002C4D8C" w:rsidRPr="008C658E" w:rsidRDefault="00C879AC" w:rsidP="006A6908">
            <w:pPr>
              <w:pStyle w:val="ListParagraph"/>
              <w:numPr>
                <w:ilvl w:val="0"/>
                <w:numId w:val="1"/>
              </w:numPr>
              <w:rPr>
                <w:b/>
                <w:bCs/>
                <w:lang w:val="en-US"/>
              </w:rPr>
            </w:pPr>
            <w:r>
              <w:rPr>
                <w:lang w:val="en-US"/>
              </w:rPr>
              <w:t xml:space="preserve">The ACT is the only jurisdiction to fully accept </w:t>
            </w:r>
            <w:r w:rsidR="002910D2">
              <w:rPr>
                <w:lang w:val="en-US"/>
              </w:rPr>
              <w:t xml:space="preserve">updating the national standards for </w:t>
            </w:r>
            <w:r w:rsidR="008C658E">
              <w:rPr>
                <w:lang w:val="en-US"/>
              </w:rPr>
              <w:t>public advocates, public guardians and public trustees</w:t>
            </w:r>
          </w:p>
          <w:p w14:paraId="68F9910A" w14:textId="75D48989" w:rsidR="008C658E" w:rsidRPr="002379B0" w:rsidRDefault="008C658E" w:rsidP="002379B0">
            <w:pPr>
              <w:rPr>
                <w:b/>
                <w:bCs/>
                <w:lang w:val="en-US"/>
              </w:rPr>
            </w:pPr>
          </w:p>
          <w:p w14:paraId="40759DA1" w14:textId="08DF3506" w:rsidR="000E7926" w:rsidRPr="00063E1A" w:rsidRDefault="000E7926" w:rsidP="00E77849">
            <w:pPr>
              <w:pStyle w:val="ListParagraph"/>
              <w:rPr>
                <w:b/>
                <w:lang w:val="en-US"/>
              </w:rPr>
            </w:pPr>
          </w:p>
        </w:tc>
      </w:tr>
    </w:tbl>
    <w:p w14:paraId="3885E074" w14:textId="77777777" w:rsidR="003F6E77" w:rsidRDefault="003F6E77" w:rsidP="008B6E19">
      <w:pPr>
        <w:jc w:val="center"/>
        <w:rPr>
          <w:lang w:val="en-US"/>
        </w:rPr>
      </w:pPr>
    </w:p>
    <w:p w14:paraId="05BCB96D" w14:textId="055D29BD" w:rsidR="00E0428C" w:rsidRDefault="00E428A5" w:rsidP="00E428A5">
      <w:pPr>
        <w:rPr>
          <w:lang w:val="en-US"/>
        </w:rPr>
      </w:pPr>
      <w:r>
        <w:rPr>
          <w:lang w:val="en-US"/>
        </w:rPr>
        <w:t xml:space="preserve">The </w:t>
      </w:r>
      <w:r w:rsidR="003E73D1">
        <w:rPr>
          <w:lang w:val="en-US"/>
        </w:rPr>
        <w:t xml:space="preserve">following table offers a breakdown of </w:t>
      </w:r>
      <w:r w:rsidR="00FD5BBC">
        <w:rPr>
          <w:lang w:val="en-US"/>
        </w:rPr>
        <w:t>what the Commissioners called for, what we as ACT DPO/</w:t>
      </w:r>
      <w:proofErr w:type="spellStart"/>
      <w:r w:rsidR="00FD5BBC">
        <w:rPr>
          <w:lang w:val="en-US"/>
        </w:rPr>
        <w:t>D</w:t>
      </w:r>
      <w:r w:rsidR="008750BF">
        <w:rPr>
          <w:lang w:val="en-US"/>
        </w:rPr>
        <w:t>R</w:t>
      </w:r>
      <w:r w:rsidR="00FD5BBC">
        <w:rPr>
          <w:lang w:val="en-US"/>
        </w:rPr>
        <w:t>O’s</w:t>
      </w:r>
      <w:proofErr w:type="spellEnd"/>
      <w:r w:rsidR="00FD5BBC">
        <w:rPr>
          <w:lang w:val="en-US"/>
        </w:rPr>
        <w:t xml:space="preserve"> asked for</w:t>
      </w:r>
      <w:r w:rsidR="0080189C">
        <w:rPr>
          <w:lang w:val="en-US"/>
        </w:rPr>
        <w:t>, and the responses of the Federal and ACT Governments.</w:t>
      </w:r>
    </w:p>
    <w:p w14:paraId="4AF1A426" w14:textId="33331348" w:rsidR="00453608" w:rsidRDefault="0080189C" w:rsidP="00E428A5">
      <w:pPr>
        <w:rPr>
          <w:lang w:val="en-US"/>
        </w:rPr>
      </w:pPr>
      <w:r>
        <w:rPr>
          <w:lang w:val="en-US"/>
        </w:rPr>
        <w:t xml:space="preserve">Based on this information, we deliver our verdict. </w:t>
      </w:r>
    </w:p>
    <w:p w14:paraId="6F6447A6" w14:textId="13DE1C55" w:rsidR="00F506BE" w:rsidRDefault="00FB71DD" w:rsidP="00E428A5">
      <w:pPr>
        <w:rPr>
          <w:lang w:val="en-US"/>
        </w:rPr>
      </w:pPr>
      <w:r>
        <w:rPr>
          <w:lang w:val="en-US"/>
        </w:rPr>
        <w:t xml:space="preserve">The table has been organized based on our </w:t>
      </w:r>
      <w:hyperlink r:id="rId11" w:history="1">
        <w:r w:rsidR="00945C81" w:rsidRPr="00F506BE">
          <w:rPr>
            <w:rStyle w:val="Hyperlink"/>
            <w:lang w:val="en-US"/>
          </w:rPr>
          <w:t xml:space="preserve">Joint Statement of Priorities </w:t>
        </w:r>
        <w:r w:rsidR="00CD29DB" w:rsidRPr="00F506BE">
          <w:rPr>
            <w:rStyle w:val="Hyperlink"/>
            <w:lang w:val="en-US"/>
          </w:rPr>
          <w:t>following the Disability Royal Commission.</w:t>
        </w:r>
      </w:hyperlink>
      <w:r w:rsidR="00F506BE">
        <w:rPr>
          <w:lang w:val="en-US"/>
        </w:rPr>
        <w:t xml:space="preserve"> The topic areas include:</w:t>
      </w:r>
    </w:p>
    <w:p w14:paraId="47CED07A" w14:textId="2A627BEE" w:rsidR="003F6E77" w:rsidRDefault="00000000" w:rsidP="00F506BE">
      <w:pPr>
        <w:pStyle w:val="ListParagraph"/>
        <w:numPr>
          <w:ilvl w:val="0"/>
          <w:numId w:val="5"/>
        </w:numPr>
        <w:rPr>
          <w:lang w:val="en-US"/>
        </w:rPr>
      </w:pPr>
      <w:hyperlink w:anchor="LC" w:history="1">
        <w:r w:rsidR="00F506BE" w:rsidRPr="00D373FE">
          <w:rPr>
            <w:rStyle w:val="Hyperlink"/>
            <w:lang w:val="en-US"/>
          </w:rPr>
          <w:t>Legislative change</w:t>
        </w:r>
      </w:hyperlink>
    </w:p>
    <w:p w14:paraId="3BE8CA44" w14:textId="44777B0F" w:rsidR="00F506BE" w:rsidRDefault="00000000" w:rsidP="00F506BE">
      <w:pPr>
        <w:pStyle w:val="ListParagraph"/>
        <w:numPr>
          <w:ilvl w:val="0"/>
          <w:numId w:val="5"/>
        </w:numPr>
        <w:rPr>
          <w:lang w:val="en-US"/>
        </w:rPr>
      </w:pPr>
      <w:hyperlink w:anchor="Guardianship" w:history="1">
        <w:r w:rsidR="00F506BE" w:rsidRPr="00C562DE">
          <w:rPr>
            <w:rStyle w:val="Hyperlink"/>
            <w:lang w:val="en-US"/>
          </w:rPr>
          <w:t>Guardianship</w:t>
        </w:r>
      </w:hyperlink>
    </w:p>
    <w:p w14:paraId="3544CB30" w14:textId="06489E5B" w:rsidR="00F506BE" w:rsidRDefault="00000000" w:rsidP="00F506BE">
      <w:pPr>
        <w:pStyle w:val="ListParagraph"/>
        <w:numPr>
          <w:ilvl w:val="0"/>
          <w:numId w:val="5"/>
        </w:numPr>
        <w:rPr>
          <w:lang w:val="en-US"/>
        </w:rPr>
      </w:pPr>
      <w:hyperlink w:anchor="Advocacy" w:history="1">
        <w:r w:rsidR="002F5CC5" w:rsidRPr="00C562DE">
          <w:rPr>
            <w:rStyle w:val="Hyperlink"/>
            <w:lang w:val="en-US"/>
          </w:rPr>
          <w:t>Advocacy</w:t>
        </w:r>
      </w:hyperlink>
    </w:p>
    <w:p w14:paraId="7F63E22C" w14:textId="2BF7C7B1" w:rsidR="002F5CC5" w:rsidRDefault="00000000" w:rsidP="00F506BE">
      <w:pPr>
        <w:pStyle w:val="ListParagraph"/>
        <w:numPr>
          <w:ilvl w:val="0"/>
          <w:numId w:val="5"/>
        </w:numPr>
        <w:rPr>
          <w:lang w:val="en-US"/>
        </w:rPr>
      </w:pPr>
      <w:hyperlink w:anchor="Migration" w:history="1">
        <w:r w:rsidR="00121B26" w:rsidRPr="00C562DE">
          <w:rPr>
            <w:rStyle w:val="Hyperlink"/>
            <w:lang w:val="en-US"/>
          </w:rPr>
          <w:t>Migration</w:t>
        </w:r>
      </w:hyperlink>
    </w:p>
    <w:p w14:paraId="3145BF65" w14:textId="4480E5F7" w:rsidR="00121B26" w:rsidRDefault="00000000" w:rsidP="00F506BE">
      <w:pPr>
        <w:pStyle w:val="ListParagraph"/>
        <w:numPr>
          <w:ilvl w:val="0"/>
          <w:numId w:val="5"/>
        </w:numPr>
        <w:rPr>
          <w:lang w:val="en-US"/>
        </w:rPr>
      </w:pPr>
      <w:hyperlink w:anchor="Governance" w:history="1">
        <w:r w:rsidR="00121B26" w:rsidRPr="00C562DE">
          <w:rPr>
            <w:rStyle w:val="Hyperlink"/>
            <w:lang w:val="en-US"/>
          </w:rPr>
          <w:t>Disability Policy and Ministers</w:t>
        </w:r>
      </w:hyperlink>
    </w:p>
    <w:p w14:paraId="251E0078" w14:textId="789ECD5D" w:rsidR="00121B26" w:rsidRDefault="00000000" w:rsidP="00F506BE">
      <w:pPr>
        <w:pStyle w:val="ListParagraph"/>
        <w:numPr>
          <w:ilvl w:val="0"/>
          <w:numId w:val="5"/>
        </w:numPr>
        <w:rPr>
          <w:lang w:val="en-US"/>
        </w:rPr>
      </w:pPr>
      <w:hyperlink w:anchor="Information" w:history="1">
        <w:r w:rsidR="00866759" w:rsidRPr="00C562DE">
          <w:rPr>
            <w:rStyle w:val="Hyperlink"/>
            <w:lang w:val="en-US"/>
          </w:rPr>
          <w:t>Accessible information</w:t>
        </w:r>
      </w:hyperlink>
    </w:p>
    <w:p w14:paraId="73E9B696" w14:textId="6B6CD7E2" w:rsidR="00866759" w:rsidRDefault="00000000" w:rsidP="00F506BE">
      <w:pPr>
        <w:pStyle w:val="ListParagraph"/>
        <w:numPr>
          <w:ilvl w:val="0"/>
          <w:numId w:val="5"/>
        </w:numPr>
        <w:rPr>
          <w:lang w:val="en-US"/>
        </w:rPr>
      </w:pPr>
      <w:hyperlink w:anchor="Health" w:history="1">
        <w:r w:rsidR="00197C44" w:rsidRPr="00C562DE">
          <w:rPr>
            <w:rStyle w:val="Hyperlink"/>
            <w:lang w:val="en-US"/>
          </w:rPr>
          <w:t>Health</w:t>
        </w:r>
      </w:hyperlink>
    </w:p>
    <w:p w14:paraId="7D036E6F" w14:textId="0C4D42BE" w:rsidR="00197C44" w:rsidRDefault="00000000" w:rsidP="00F506BE">
      <w:pPr>
        <w:pStyle w:val="ListParagraph"/>
        <w:numPr>
          <w:ilvl w:val="0"/>
          <w:numId w:val="5"/>
        </w:numPr>
        <w:rPr>
          <w:lang w:val="en-US"/>
        </w:rPr>
      </w:pPr>
      <w:hyperlink w:anchor="RP" w:history="1">
        <w:r w:rsidR="00197C44" w:rsidRPr="00C562DE">
          <w:rPr>
            <w:rStyle w:val="Hyperlink"/>
            <w:lang w:val="en-US"/>
          </w:rPr>
          <w:t>Restrictive Practices</w:t>
        </w:r>
      </w:hyperlink>
    </w:p>
    <w:p w14:paraId="7045BE43" w14:textId="658BB315" w:rsidR="00197C44" w:rsidRDefault="00000000" w:rsidP="00F506BE">
      <w:pPr>
        <w:pStyle w:val="ListParagraph"/>
        <w:numPr>
          <w:ilvl w:val="0"/>
          <w:numId w:val="5"/>
        </w:numPr>
        <w:rPr>
          <w:lang w:val="en-US"/>
        </w:rPr>
      </w:pPr>
      <w:hyperlink w:anchor="Ed" w:history="1">
        <w:r w:rsidR="00651A70" w:rsidRPr="00C562DE">
          <w:rPr>
            <w:rStyle w:val="Hyperlink"/>
            <w:lang w:val="en-US"/>
          </w:rPr>
          <w:t>Education</w:t>
        </w:r>
      </w:hyperlink>
    </w:p>
    <w:p w14:paraId="3730413B" w14:textId="37A45CBC" w:rsidR="00651A70" w:rsidRDefault="00000000" w:rsidP="00F506BE">
      <w:pPr>
        <w:pStyle w:val="ListParagraph"/>
        <w:numPr>
          <w:ilvl w:val="0"/>
          <w:numId w:val="5"/>
        </w:numPr>
        <w:rPr>
          <w:lang w:val="en-US"/>
        </w:rPr>
      </w:pPr>
      <w:hyperlink w:anchor="Employment" w:history="1">
        <w:r w:rsidR="00651A70" w:rsidRPr="00C562DE">
          <w:rPr>
            <w:rStyle w:val="Hyperlink"/>
            <w:lang w:val="en-US"/>
          </w:rPr>
          <w:t>Employment</w:t>
        </w:r>
      </w:hyperlink>
    </w:p>
    <w:p w14:paraId="0EA5DEC1" w14:textId="5D54779F" w:rsidR="00651A70" w:rsidRDefault="00000000" w:rsidP="00F506BE">
      <w:pPr>
        <w:pStyle w:val="ListParagraph"/>
        <w:numPr>
          <w:ilvl w:val="0"/>
          <w:numId w:val="5"/>
        </w:numPr>
        <w:rPr>
          <w:lang w:val="en-US"/>
        </w:rPr>
      </w:pPr>
      <w:hyperlink w:anchor="Housing" w:history="1">
        <w:r w:rsidR="00651A70" w:rsidRPr="00C562DE">
          <w:rPr>
            <w:rStyle w:val="Hyperlink"/>
            <w:lang w:val="en-US"/>
          </w:rPr>
          <w:t>Housing</w:t>
        </w:r>
      </w:hyperlink>
    </w:p>
    <w:p w14:paraId="482F7FC4" w14:textId="12BCF795" w:rsidR="00651A70" w:rsidRDefault="00000000" w:rsidP="00F506BE">
      <w:pPr>
        <w:pStyle w:val="ListParagraph"/>
        <w:numPr>
          <w:ilvl w:val="0"/>
          <w:numId w:val="5"/>
        </w:numPr>
        <w:rPr>
          <w:lang w:val="en-US"/>
        </w:rPr>
      </w:pPr>
      <w:hyperlink w:anchor="Justice" w:history="1">
        <w:r w:rsidR="0070163E" w:rsidRPr="00C562DE">
          <w:rPr>
            <w:rStyle w:val="Hyperlink"/>
            <w:lang w:val="en-US"/>
          </w:rPr>
          <w:t>Justice</w:t>
        </w:r>
      </w:hyperlink>
    </w:p>
    <w:p w14:paraId="1E507A73" w14:textId="2F13381F" w:rsidR="0070163E" w:rsidRDefault="00000000" w:rsidP="00F506BE">
      <w:pPr>
        <w:pStyle w:val="ListParagraph"/>
        <w:numPr>
          <w:ilvl w:val="0"/>
          <w:numId w:val="5"/>
        </w:numPr>
        <w:rPr>
          <w:lang w:val="en-US"/>
        </w:rPr>
      </w:pPr>
      <w:hyperlink w:anchor="FN" w:history="1">
        <w:r w:rsidR="0070163E" w:rsidRPr="00C562DE">
          <w:rPr>
            <w:rStyle w:val="Hyperlink"/>
            <w:lang w:val="en-US"/>
          </w:rPr>
          <w:t>First Nations</w:t>
        </w:r>
      </w:hyperlink>
    </w:p>
    <w:p w14:paraId="3BAF330F" w14:textId="29338A74" w:rsidR="0070163E" w:rsidRDefault="00000000" w:rsidP="00F506BE">
      <w:pPr>
        <w:pStyle w:val="ListParagraph"/>
        <w:numPr>
          <w:ilvl w:val="0"/>
          <w:numId w:val="5"/>
        </w:numPr>
        <w:rPr>
          <w:lang w:val="en-US"/>
        </w:rPr>
      </w:pPr>
      <w:hyperlink w:anchor="OPCAT" w:history="1">
        <w:r w:rsidR="0070163E" w:rsidRPr="00C562DE">
          <w:rPr>
            <w:rStyle w:val="Hyperlink"/>
            <w:lang w:val="en-US"/>
          </w:rPr>
          <w:t>OPCAT</w:t>
        </w:r>
      </w:hyperlink>
    </w:p>
    <w:p w14:paraId="0274B08B" w14:textId="1D1ABC48" w:rsidR="0070163E" w:rsidRDefault="00000000" w:rsidP="00F506BE">
      <w:pPr>
        <w:pStyle w:val="ListParagraph"/>
        <w:numPr>
          <w:ilvl w:val="0"/>
          <w:numId w:val="5"/>
        </w:numPr>
        <w:rPr>
          <w:lang w:val="en-US"/>
        </w:rPr>
      </w:pPr>
      <w:hyperlink w:anchor="DDR" w:history="1">
        <w:r w:rsidR="0070163E" w:rsidRPr="00C562DE">
          <w:rPr>
            <w:rStyle w:val="Hyperlink"/>
            <w:lang w:val="en-US"/>
          </w:rPr>
          <w:t>Disability Death Reviews</w:t>
        </w:r>
      </w:hyperlink>
    </w:p>
    <w:p w14:paraId="288F110B" w14:textId="77777777" w:rsidR="005A1C33" w:rsidRDefault="005A1C33" w:rsidP="005A1C33">
      <w:pPr>
        <w:rPr>
          <w:lang w:val="en-US"/>
        </w:rPr>
      </w:pPr>
    </w:p>
    <w:p w14:paraId="205804F5" w14:textId="77777777" w:rsidR="005A1C33" w:rsidRDefault="005A1C33" w:rsidP="005A1C33">
      <w:pPr>
        <w:rPr>
          <w:lang w:val="en-US"/>
        </w:rPr>
      </w:pPr>
    </w:p>
    <w:p w14:paraId="32AC2F01" w14:textId="77777777" w:rsidR="005A1C33" w:rsidRPr="005A1C33" w:rsidRDefault="005A1C33" w:rsidP="005A1C33">
      <w:pPr>
        <w:rPr>
          <w:lang w:val="en-US"/>
        </w:rPr>
      </w:pPr>
    </w:p>
    <w:p w14:paraId="5800594E" w14:textId="77777777" w:rsidR="003F6E77" w:rsidRDefault="003F6E77" w:rsidP="008B6E19">
      <w:pPr>
        <w:jc w:val="center"/>
        <w:rPr>
          <w:lang w:val="en-US"/>
        </w:rPr>
      </w:pPr>
    </w:p>
    <w:tbl>
      <w:tblPr>
        <w:tblStyle w:val="TableGrid"/>
        <w:tblW w:w="21825" w:type="dxa"/>
        <w:tblLook w:val="04A0" w:firstRow="1" w:lastRow="0" w:firstColumn="1" w:lastColumn="0" w:noHBand="0" w:noVBand="1"/>
      </w:tblPr>
      <w:tblGrid>
        <w:gridCol w:w="4957"/>
        <w:gridCol w:w="5386"/>
        <w:gridCol w:w="9072"/>
        <w:gridCol w:w="2410"/>
      </w:tblGrid>
      <w:tr w:rsidR="007578A3" w:rsidRPr="00B66AB0" w14:paraId="77E25C02" w14:textId="77777777" w:rsidTr="00973197">
        <w:trPr>
          <w:tblHeader/>
        </w:trPr>
        <w:tc>
          <w:tcPr>
            <w:tcW w:w="4957" w:type="dxa"/>
            <w:shd w:val="clear" w:color="auto" w:fill="E7E6E6" w:themeFill="background2"/>
          </w:tcPr>
          <w:p w14:paraId="58152F49" w14:textId="0CDD7B61" w:rsidR="00EF517C" w:rsidRPr="00A350E1" w:rsidRDefault="00EF517C">
            <w:pPr>
              <w:rPr>
                <w:b/>
                <w:sz w:val="20"/>
                <w:szCs w:val="20"/>
                <w:lang w:val="en-US"/>
              </w:rPr>
            </w:pPr>
            <w:r w:rsidRPr="00A350E1">
              <w:rPr>
                <w:b/>
                <w:sz w:val="20"/>
                <w:szCs w:val="20"/>
                <w:lang w:val="en-US"/>
              </w:rPr>
              <w:t xml:space="preserve">What the Commissioners called for </w:t>
            </w:r>
          </w:p>
        </w:tc>
        <w:tc>
          <w:tcPr>
            <w:tcW w:w="5386" w:type="dxa"/>
            <w:shd w:val="clear" w:color="auto" w:fill="E7E6E6" w:themeFill="background2"/>
          </w:tcPr>
          <w:p w14:paraId="5FF086B8" w14:textId="7B611FFD" w:rsidR="00EF517C" w:rsidRPr="00A350E1" w:rsidRDefault="00EF517C">
            <w:pPr>
              <w:rPr>
                <w:b/>
                <w:sz w:val="20"/>
                <w:szCs w:val="20"/>
                <w:lang w:val="en-US"/>
              </w:rPr>
            </w:pPr>
            <w:r w:rsidRPr="00A350E1">
              <w:rPr>
                <w:b/>
                <w:sz w:val="20"/>
                <w:szCs w:val="20"/>
                <w:lang w:val="en-US"/>
              </w:rPr>
              <w:t>What we asked for</w:t>
            </w:r>
          </w:p>
        </w:tc>
        <w:tc>
          <w:tcPr>
            <w:tcW w:w="9072" w:type="dxa"/>
            <w:shd w:val="clear" w:color="auto" w:fill="E7E6E6" w:themeFill="background2"/>
          </w:tcPr>
          <w:p w14:paraId="296D18D0" w14:textId="7A82E855" w:rsidR="00EF517C" w:rsidRPr="00A350E1" w:rsidRDefault="00EF517C">
            <w:pPr>
              <w:rPr>
                <w:b/>
                <w:sz w:val="20"/>
                <w:szCs w:val="20"/>
                <w:lang w:val="en-US"/>
              </w:rPr>
            </w:pPr>
            <w:r w:rsidRPr="00A350E1">
              <w:rPr>
                <w:b/>
                <w:sz w:val="20"/>
                <w:szCs w:val="20"/>
                <w:lang w:val="en-US"/>
              </w:rPr>
              <w:t xml:space="preserve">What we got from the Federal and ACT Govts </w:t>
            </w:r>
          </w:p>
        </w:tc>
        <w:tc>
          <w:tcPr>
            <w:tcW w:w="2410" w:type="dxa"/>
            <w:shd w:val="clear" w:color="auto" w:fill="E7E6E6" w:themeFill="background2"/>
          </w:tcPr>
          <w:p w14:paraId="595DA07A" w14:textId="57DE7AB3" w:rsidR="00EF517C" w:rsidRPr="00A350E1" w:rsidRDefault="00707A63">
            <w:pPr>
              <w:rPr>
                <w:b/>
                <w:sz w:val="20"/>
                <w:szCs w:val="20"/>
                <w:lang w:val="en-US"/>
              </w:rPr>
            </w:pPr>
            <w:r w:rsidRPr="00A350E1">
              <w:rPr>
                <w:b/>
                <w:sz w:val="20"/>
                <w:szCs w:val="20"/>
                <w:lang w:val="en-US"/>
              </w:rPr>
              <w:t>Our</w:t>
            </w:r>
            <w:r w:rsidR="00874132" w:rsidRPr="00A350E1">
              <w:rPr>
                <w:b/>
                <w:sz w:val="20"/>
                <w:szCs w:val="20"/>
                <w:lang w:val="en-US"/>
              </w:rPr>
              <w:t xml:space="preserve"> </w:t>
            </w:r>
            <w:r w:rsidR="00EF517C" w:rsidRPr="00A350E1">
              <w:rPr>
                <w:b/>
                <w:sz w:val="20"/>
                <w:szCs w:val="20"/>
                <w:lang w:val="en-US"/>
              </w:rPr>
              <w:t xml:space="preserve">Verdict </w:t>
            </w:r>
            <w:r w:rsidR="00EF517C" w:rsidRPr="00A350E1">
              <w:rPr>
                <w:rFonts w:ascii="Wingdings" w:eastAsia="Wingdings" w:hAnsi="Wingdings" w:cs="Wingdings"/>
                <w:b/>
                <w:color w:val="00B050"/>
                <w:sz w:val="20"/>
                <w:szCs w:val="20"/>
                <w:lang w:val="en-US"/>
              </w:rPr>
              <w:t>ü</w:t>
            </w:r>
            <w:proofErr w:type="gramStart"/>
            <w:r w:rsidR="00EF517C" w:rsidRPr="00A350E1">
              <w:rPr>
                <w:rFonts w:ascii="Wingdings" w:eastAsia="Wingdings" w:hAnsi="Wingdings" w:cs="Wingdings"/>
                <w:b/>
                <w:color w:val="FF0000"/>
                <w:sz w:val="20"/>
                <w:szCs w:val="20"/>
                <w:lang w:val="en-US"/>
              </w:rPr>
              <w:t>þ</w:t>
            </w:r>
            <w:r w:rsidR="009B3DF0" w:rsidRPr="00A350E1">
              <w:rPr>
                <w:b/>
                <w:color w:val="FF0000"/>
                <w:sz w:val="20"/>
                <w:szCs w:val="20"/>
                <w:lang w:val="en-US"/>
              </w:rPr>
              <w:t xml:space="preserve"> </w:t>
            </w:r>
            <w:r w:rsidR="009B3DF0" w:rsidRPr="00A350E1">
              <w:rPr>
                <w:b/>
                <w:color w:val="4472C4"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tc>
      </w:tr>
      <w:tr w:rsidR="007578A3" w:rsidRPr="00B66AB0" w14:paraId="1753795E" w14:textId="77777777" w:rsidTr="00973197">
        <w:tc>
          <w:tcPr>
            <w:tcW w:w="4957" w:type="dxa"/>
          </w:tcPr>
          <w:p w14:paraId="320F56A4" w14:textId="77777777" w:rsidR="00EA2B7A" w:rsidRPr="00B66AB0" w:rsidRDefault="00EA2B7A" w:rsidP="00EA2B7A">
            <w:pPr>
              <w:rPr>
                <w:b/>
                <w:bCs/>
                <w:sz w:val="20"/>
                <w:szCs w:val="20"/>
                <w:lang w:val="en-US"/>
              </w:rPr>
            </w:pPr>
            <w:bookmarkStart w:id="0" w:name="LC"/>
            <w:r w:rsidRPr="00B66AB0">
              <w:rPr>
                <w:b/>
                <w:bCs/>
                <w:sz w:val="20"/>
                <w:szCs w:val="20"/>
                <w:lang w:val="en-US"/>
              </w:rPr>
              <w:t>Legislative change:</w:t>
            </w:r>
          </w:p>
          <w:bookmarkEnd w:id="0"/>
          <w:p w14:paraId="54C14A88" w14:textId="77777777" w:rsidR="00B92ABF" w:rsidRPr="00B92ABF" w:rsidRDefault="00B92ABF" w:rsidP="00B92ABF">
            <w:pPr>
              <w:rPr>
                <w:sz w:val="20"/>
                <w:szCs w:val="20"/>
                <w:lang w:val="en-US"/>
              </w:rPr>
            </w:pPr>
            <w:r w:rsidRPr="00B92ABF">
              <w:rPr>
                <w:sz w:val="20"/>
                <w:szCs w:val="20"/>
                <w:lang w:val="en-US"/>
              </w:rPr>
              <w:t xml:space="preserve">The Commission recommends that the Australian government should commit to the enactment of an Australian Disability Rights Act (DRA). Legislation should be introduced into parliament as soon as possible. The DRA should impose duties to comply with CRPD which would then be enforced by a National Disability Commission. As proposed, the DRA would only be binding to Commonwealth </w:t>
            </w:r>
            <w:proofErr w:type="gramStart"/>
            <w:r w:rsidRPr="00B92ABF">
              <w:rPr>
                <w:sz w:val="20"/>
                <w:szCs w:val="20"/>
                <w:lang w:val="en-US"/>
              </w:rPr>
              <w:t>agencies</w:t>
            </w:r>
            <w:proofErr w:type="gramEnd"/>
            <w:r w:rsidRPr="00B92ABF">
              <w:rPr>
                <w:sz w:val="20"/>
                <w:szCs w:val="20"/>
                <w:lang w:val="en-US"/>
              </w:rPr>
              <w:t xml:space="preserve"> however some of the commissioners recommended that it be extended to other entities. </w:t>
            </w:r>
          </w:p>
          <w:p w14:paraId="24EE1FF2" w14:textId="77777777" w:rsidR="008C06FF" w:rsidRDefault="008C06FF" w:rsidP="00B92ABF">
            <w:pPr>
              <w:rPr>
                <w:sz w:val="20"/>
                <w:szCs w:val="20"/>
                <w:lang w:val="en-US"/>
              </w:rPr>
            </w:pPr>
          </w:p>
          <w:p w14:paraId="57EBA644" w14:textId="77777777" w:rsidR="008C1B24" w:rsidRDefault="00B92ABF" w:rsidP="00B92ABF">
            <w:pPr>
              <w:rPr>
                <w:sz w:val="20"/>
                <w:szCs w:val="20"/>
                <w:lang w:val="en-US"/>
              </w:rPr>
            </w:pPr>
            <w:r w:rsidRPr="00B92ABF">
              <w:rPr>
                <w:sz w:val="20"/>
                <w:szCs w:val="20"/>
                <w:lang w:val="en-US"/>
              </w:rPr>
              <w:t xml:space="preserve">The Royal Commission recommends amendments to make the Commonwealth Disability Discrimination Act (DDA) more effective including creating a positive duty to end discrimination and changing the legal test for direct discrimination. They also recommend the removal of the ‘reasonable’ </w:t>
            </w:r>
            <w:proofErr w:type="spellStart"/>
            <w:r w:rsidRPr="00B92ABF">
              <w:rPr>
                <w:sz w:val="20"/>
                <w:szCs w:val="20"/>
                <w:lang w:val="en-US"/>
              </w:rPr>
              <w:t>defence</w:t>
            </w:r>
            <w:proofErr w:type="spellEnd"/>
            <w:r w:rsidRPr="00B92ABF">
              <w:rPr>
                <w:sz w:val="20"/>
                <w:szCs w:val="20"/>
                <w:lang w:val="en-US"/>
              </w:rPr>
              <w:t xml:space="preserve"> for unjustifiable hardship. </w:t>
            </w:r>
          </w:p>
          <w:p w14:paraId="3B9AC6A2" w14:textId="77777777" w:rsidR="008C1B24" w:rsidRDefault="008C1B24" w:rsidP="00B92ABF">
            <w:pPr>
              <w:rPr>
                <w:sz w:val="20"/>
                <w:szCs w:val="20"/>
                <w:lang w:val="en-US"/>
              </w:rPr>
            </w:pPr>
          </w:p>
          <w:p w14:paraId="2E7CD396" w14:textId="3BC2F91D" w:rsidR="00EF517C" w:rsidRDefault="00B92ABF" w:rsidP="00B92ABF">
            <w:pPr>
              <w:rPr>
                <w:sz w:val="20"/>
                <w:szCs w:val="20"/>
                <w:lang w:val="en-US"/>
              </w:rPr>
            </w:pPr>
            <w:r w:rsidRPr="00B92ABF">
              <w:rPr>
                <w:sz w:val="20"/>
                <w:szCs w:val="20"/>
                <w:lang w:val="en-US"/>
              </w:rPr>
              <w:t>Additionally</w:t>
            </w:r>
            <w:r w:rsidR="008C1B24">
              <w:rPr>
                <w:sz w:val="20"/>
                <w:szCs w:val="20"/>
                <w:lang w:val="en-US"/>
              </w:rPr>
              <w:t>,</w:t>
            </w:r>
            <w:r w:rsidRPr="00B92ABF">
              <w:rPr>
                <w:sz w:val="20"/>
                <w:szCs w:val="20"/>
                <w:lang w:val="en-US"/>
              </w:rPr>
              <w:t xml:space="preserve"> they recommend creating provisions for harassment and vilification on the grounds of disability within the DDA.</w:t>
            </w:r>
          </w:p>
          <w:p w14:paraId="58606079" w14:textId="218C7841" w:rsidR="00EF517C" w:rsidRPr="00B66AB0" w:rsidRDefault="00EF517C" w:rsidP="00B92ABF">
            <w:pPr>
              <w:rPr>
                <w:b/>
                <w:bCs/>
                <w:sz w:val="20"/>
                <w:szCs w:val="20"/>
                <w:lang w:val="en-US"/>
              </w:rPr>
            </w:pPr>
          </w:p>
        </w:tc>
        <w:tc>
          <w:tcPr>
            <w:tcW w:w="5386" w:type="dxa"/>
          </w:tcPr>
          <w:p w14:paraId="49C9DB9D" w14:textId="77777777" w:rsidR="00DB27CC" w:rsidRDefault="00DB27CC">
            <w:pPr>
              <w:rPr>
                <w:sz w:val="20"/>
                <w:szCs w:val="20"/>
                <w:lang w:val="en-US"/>
              </w:rPr>
            </w:pPr>
          </w:p>
          <w:p w14:paraId="41F0A3F3" w14:textId="366C4831" w:rsidR="00EF517C" w:rsidRPr="00B66AB0" w:rsidRDefault="00EF517C">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Pr="00B66AB0">
              <w:rPr>
                <w:sz w:val="20"/>
                <w:szCs w:val="20"/>
                <w:lang w:val="en-US"/>
              </w:rPr>
              <w:t xml:space="preserve"> signal our strong support for either a Disability Rights Act or a strong Human Rights Act which binds Australia to enacting the CRPD.  We support all the recommended changes to the Disability Discrimination Act.  Here in the ACT, we support a Territory based Disability Rights Act alongside (and separate to) the Disability Inclusion Bill.  This should be introduced early in the next Assembly.  </w:t>
            </w:r>
          </w:p>
        </w:tc>
        <w:tc>
          <w:tcPr>
            <w:tcW w:w="9072" w:type="dxa"/>
          </w:tcPr>
          <w:p w14:paraId="599DCCED" w14:textId="3829E04F" w:rsidR="00B14C26" w:rsidRPr="00A57B9E" w:rsidRDefault="00B14C26">
            <w:pPr>
              <w:rPr>
                <w:i/>
                <w:iCs/>
                <w:sz w:val="20"/>
                <w:szCs w:val="20"/>
                <w:lang w:val="en-US"/>
              </w:rPr>
            </w:pPr>
            <w:r w:rsidRPr="00A57B9E">
              <w:rPr>
                <w:i/>
                <w:iCs/>
                <w:sz w:val="20"/>
                <w:szCs w:val="20"/>
                <w:lang w:val="en-US"/>
              </w:rPr>
              <w:t>Commonwealth</w:t>
            </w:r>
          </w:p>
          <w:p w14:paraId="5D6801EC" w14:textId="043753FD" w:rsidR="00EF517C" w:rsidRDefault="005B6B04">
            <w:pPr>
              <w:rPr>
                <w:sz w:val="20"/>
                <w:szCs w:val="20"/>
                <w:lang w:val="en-US"/>
              </w:rPr>
            </w:pPr>
            <w:r>
              <w:rPr>
                <w:sz w:val="20"/>
                <w:szCs w:val="20"/>
                <w:lang w:val="en-US"/>
              </w:rPr>
              <w:t xml:space="preserve">The Govt has not agreed to the Disability Rights Act or substantial legislative reform however it has agreed to </w:t>
            </w:r>
            <w:r w:rsidR="00703024">
              <w:rPr>
                <w:sz w:val="20"/>
                <w:szCs w:val="20"/>
                <w:lang w:val="en-US"/>
              </w:rPr>
              <w:t>‘</w:t>
            </w:r>
            <w:r>
              <w:rPr>
                <w:sz w:val="20"/>
                <w:szCs w:val="20"/>
                <w:lang w:val="en-US"/>
              </w:rPr>
              <w:t>modernize</w:t>
            </w:r>
            <w:r w:rsidR="00703024">
              <w:rPr>
                <w:sz w:val="20"/>
                <w:szCs w:val="20"/>
                <w:lang w:val="en-US"/>
              </w:rPr>
              <w:t>’</w:t>
            </w:r>
            <w:r>
              <w:rPr>
                <w:sz w:val="20"/>
                <w:szCs w:val="20"/>
                <w:lang w:val="en-US"/>
              </w:rPr>
              <w:t xml:space="preserve"> </w:t>
            </w:r>
            <w:r w:rsidR="0035664C">
              <w:rPr>
                <w:sz w:val="20"/>
                <w:szCs w:val="20"/>
                <w:lang w:val="en-US"/>
              </w:rPr>
              <w:t>the DDA</w:t>
            </w:r>
            <w:r w:rsidR="008226E4">
              <w:rPr>
                <w:sz w:val="20"/>
                <w:szCs w:val="20"/>
                <w:lang w:val="en-US"/>
              </w:rPr>
              <w:t xml:space="preserve">. </w:t>
            </w:r>
            <w:r w:rsidR="00F45956">
              <w:rPr>
                <w:sz w:val="20"/>
                <w:szCs w:val="20"/>
                <w:lang w:val="en-US"/>
              </w:rPr>
              <w:t xml:space="preserve">In an adjacent process, recommendations have been made to re-establish and </w:t>
            </w:r>
            <w:r w:rsidR="006E7C44">
              <w:rPr>
                <w:sz w:val="20"/>
                <w:szCs w:val="20"/>
                <w:lang w:val="en-US"/>
              </w:rPr>
              <w:t xml:space="preserve">improve Australia’s Human Rights Framework. </w:t>
            </w:r>
            <w:r w:rsidR="002B6829">
              <w:rPr>
                <w:sz w:val="20"/>
                <w:szCs w:val="20"/>
                <w:lang w:val="en-US"/>
              </w:rPr>
              <w:t xml:space="preserve">The govt </w:t>
            </w:r>
            <w:r w:rsidR="009349D1">
              <w:rPr>
                <w:sz w:val="20"/>
                <w:szCs w:val="20"/>
                <w:lang w:val="en-US"/>
              </w:rPr>
              <w:t xml:space="preserve">has stated that it will consider the Royal Commission’s recommendation in relation to the Disability Rights Act </w:t>
            </w:r>
            <w:r w:rsidR="00BC478C">
              <w:rPr>
                <w:sz w:val="20"/>
                <w:szCs w:val="20"/>
                <w:lang w:val="en-US"/>
              </w:rPr>
              <w:t>alongside the Human Rights Framework process.</w:t>
            </w:r>
            <w:r w:rsidR="0035664C">
              <w:rPr>
                <w:sz w:val="20"/>
                <w:szCs w:val="20"/>
                <w:lang w:val="en-US"/>
              </w:rPr>
              <w:t xml:space="preserve"> </w:t>
            </w:r>
          </w:p>
          <w:p w14:paraId="3664F756" w14:textId="77777777" w:rsidR="001F4F8D" w:rsidRDefault="001F4F8D">
            <w:pPr>
              <w:rPr>
                <w:sz w:val="20"/>
                <w:szCs w:val="20"/>
                <w:lang w:val="en-US"/>
              </w:rPr>
            </w:pPr>
          </w:p>
          <w:p w14:paraId="680D0EE7" w14:textId="0B517BCC" w:rsidR="001F4F8D" w:rsidRDefault="004566ED">
            <w:pPr>
              <w:rPr>
                <w:sz w:val="20"/>
                <w:szCs w:val="20"/>
                <w:lang w:val="en-US"/>
              </w:rPr>
            </w:pPr>
            <w:r>
              <w:rPr>
                <w:sz w:val="20"/>
                <w:szCs w:val="20"/>
                <w:lang w:val="en-US"/>
              </w:rPr>
              <w:t>The Govt</w:t>
            </w:r>
            <w:r w:rsidR="00C52A57">
              <w:rPr>
                <w:sz w:val="20"/>
                <w:szCs w:val="20"/>
                <w:lang w:val="en-US"/>
              </w:rPr>
              <w:t xml:space="preserve"> </w:t>
            </w:r>
            <w:r w:rsidR="003D600D">
              <w:rPr>
                <w:sz w:val="20"/>
                <w:szCs w:val="20"/>
                <w:lang w:val="en-US"/>
              </w:rPr>
              <w:t xml:space="preserve">is </w:t>
            </w:r>
            <w:r w:rsidR="00766EDC">
              <w:rPr>
                <w:sz w:val="20"/>
                <w:szCs w:val="20"/>
                <w:lang w:val="en-US"/>
              </w:rPr>
              <w:t xml:space="preserve">putting forward </w:t>
            </w:r>
            <w:r w:rsidR="009C3FB4" w:rsidRPr="009B3DF0">
              <w:rPr>
                <w:sz w:val="20"/>
                <w:szCs w:val="20"/>
                <w:lang w:val="en-US"/>
              </w:rPr>
              <w:t>$</w:t>
            </w:r>
            <w:r w:rsidR="00766EDC">
              <w:rPr>
                <w:sz w:val="20"/>
                <w:szCs w:val="20"/>
                <w:lang w:val="en-US"/>
              </w:rPr>
              <w:t xml:space="preserve">6.9 million to ‘review and </w:t>
            </w:r>
            <w:proofErr w:type="spellStart"/>
            <w:r w:rsidR="00766EDC">
              <w:rPr>
                <w:sz w:val="20"/>
                <w:szCs w:val="20"/>
                <w:lang w:val="en-US"/>
              </w:rPr>
              <w:t>modernise</w:t>
            </w:r>
            <w:proofErr w:type="spellEnd"/>
            <w:r w:rsidR="00766EDC">
              <w:rPr>
                <w:sz w:val="20"/>
                <w:szCs w:val="20"/>
                <w:lang w:val="en-US"/>
              </w:rPr>
              <w:t>’ the DDA (which has not been substantially amended since 2009).</w:t>
            </w:r>
          </w:p>
          <w:p w14:paraId="055B78DE" w14:textId="77777777" w:rsidR="000D2CFA" w:rsidRDefault="000D2CFA">
            <w:pPr>
              <w:rPr>
                <w:sz w:val="20"/>
                <w:szCs w:val="20"/>
                <w:lang w:val="en-US"/>
              </w:rPr>
            </w:pPr>
          </w:p>
          <w:p w14:paraId="446D1187" w14:textId="2DDA9A53" w:rsidR="008F2BE5" w:rsidRPr="00A57B9E" w:rsidRDefault="008F2BE5">
            <w:pPr>
              <w:rPr>
                <w:i/>
                <w:sz w:val="20"/>
                <w:szCs w:val="20"/>
                <w:lang w:val="en-US"/>
              </w:rPr>
            </w:pPr>
            <w:r w:rsidRPr="00A57B9E">
              <w:rPr>
                <w:i/>
                <w:sz w:val="20"/>
                <w:szCs w:val="20"/>
                <w:lang w:val="en-US"/>
              </w:rPr>
              <w:t>ACT</w:t>
            </w:r>
          </w:p>
          <w:p w14:paraId="6FC81B51" w14:textId="77777777" w:rsidR="00EF517C" w:rsidRDefault="00185EDF" w:rsidP="00141CE6">
            <w:pPr>
              <w:rPr>
                <w:sz w:val="20"/>
                <w:szCs w:val="20"/>
              </w:rPr>
            </w:pPr>
            <w:r w:rsidRPr="00D47724">
              <w:rPr>
                <w:b/>
                <w:sz w:val="20"/>
                <w:szCs w:val="20"/>
              </w:rPr>
              <w:t xml:space="preserve">Recommendation 4.22 Strengthening disability rights protection in state and territory </w:t>
            </w:r>
            <w:r w:rsidRPr="00D47724">
              <w:rPr>
                <w:b/>
                <w:bCs/>
                <w:sz w:val="20"/>
                <w:szCs w:val="20"/>
              </w:rPr>
              <w:t>laws</w:t>
            </w:r>
            <w:r w:rsidR="00291975">
              <w:rPr>
                <w:b/>
                <w:bCs/>
                <w:sz w:val="20"/>
                <w:szCs w:val="20"/>
              </w:rPr>
              <w:t xml:space="preserve"> </w:t>
            </w:r>
            <w:r w:rsidR="009029A0" w:rsidRPr="009029A0">
              <w:rPr>
                <w:sz w:val="20"/>
                <w:szCs w:val="20"/>
              </w:rPr>
              <w:t>Many of the features recommended by the Disability Royal Commission for inclusion in a national Disability Rights Act are already features of the Human Rights Act 2004 (ACT)</w:t>
            </w:r>
          </w:p>
          <w:p w14:paraId="66887D96" w14:textId="77777777" w:rsidR="00903012" w:rsidRDefault="00903012" w:rsidP="00141CE6">
            <w:pPr>
              <w:rPr>
                <w:sz w:val="20"/>
                <w:szCs w:val="20"/>
              </w:rPr>
            </w:pPr>
          </w:p>
          <w:p w14:paraId="47CE786B" w14:textId="7B89B9FC" w:rsidR="000D2CFA" w:rsidRPr="0019282E" w:rsidRDefault="0019282E">
            <w:pPr>
              <w:rPr>
                <w:b/>
                <w:sz w:val="20"/>
                <w:szCs w:val="20"/>
                <w:lang w:val="en-US"/>
              </w:rPr>
            </w:pPr>
            <w:r w:rsidRPr="0019282E">
              <w:rPr>
                <w:b/>
                <w:bCs/>
                <w:sz w:val="20"/>
                <w:szCs w:val="20"/>
              </w:rPr>
              <w:t>Recommendation 4.30 Vilification because of disability</w:t>
            </w:r>
            <w:r>
              <w:rPr>
                <w:b/>
                <w:bCs/>
                <w:sz w:val="20"/>
                <w:szCs w:val="20"/>
              </w:rPr>
              <w:t xml:space="preserve"> </w:t>
            </w:r>
            <w:r w:rsidR="00F30A10" w:rsidRPr="00F30A10">
              <w:rPr>
                <w:sz w:val="20"/>
                <w:szCs w:val="20"/>
              </w:rPr>
              <w:t xml:space="preserve">There is already legislation in the ACT that imposes criminal penalties for vilification of people on grounds of disability. Under section </w:t>
            </w:r>
            <w:proofErr w:type="spellStart"/>
            <w:r w:rsidR="00F30A10" w:rsidRPr="00F30A10">
              <w:rPr>
                <w:sz w:val="20"/>
                <w:szCs w:val="20"/>
              </w:rPr>
              <w:t>67A</w:t>
            </w:r>
            <w:proofErr w:type="spellEnd"/>
            <w:r w:rsidR="00F30A10" w:rsidRPr="00F30A10">
              <w:rPr>
                <w:sz w:val="20"/>
                <w:szCs w:val="20"/>
              </w:rPr>
              <w:t xml:space="preserve"> of the Discrimination Act 1991 (ACT), it is unlawful for a person to incite hatred toward, revulsion of, serious contempt for, or severe ridicule of a person or group of people on the ground of disability and other protected attributes</w:t>
            </w:r>
            <w:r w:rsidR="00F30A10" w:rsidRPr="00F30A10">
              <w:rPr>
                <w:b/>
                <w:bCs/>
                <w:sz w:val="20"/>
                <w:szCs w:val="20"/>
              </w:rPr>
              <w:t>.</w:t>
            </w:r>
          </w:p>
        </w:tc>
        <w:tc>
          <w:tcPr>
            <w:tcW w:w="2410" w:type="dxa"/>
          </w:tcPr>
          <w:p w14:paraId="56EE843A" w14:textId="56536DBD" w:rsidR="00EF517C" w:rsidRPr="00D30816" w:rsidRDefault="00D30816">
            <w:pPr>
              <w:rPr>
                <w:sz w:val="96"/>
                <w:szCs w:val="96"/>
                <w:lang w:val="en-US"/>
              </w:rPr>
            </w:pPr>
            <w:r w:rsidRPr="00D30816">
              <w:rPr>
                <w:color w:val="FF0000"/>
                <w:sz w:val="96"/>
                <w:szCs w:val="96"/>
                <w:lang w:val="en-US"/>
              </w:rPr>
              <w:sym w:font="Wingdings" w:char="F078"/>
            </w:r>
          </w:p>
        </w:tc>
      </w:tr>
      <w:tr w:rsidR="007578A3" w:rsidRPr="00B66AB0" w14:paraId="02B3487D" w14:textId="77777777" w:rsidTr="00973197">
        <w:tc>
          <w:tcPr>
            <w:tcW w:w="4957" w:type="dxa"/>
          </w:tcPr>
          <w:p w14:paraId="01533518" w14:textId="77777777" w:rsidR="00EA2B7A" w:rsidRPr="00B66AB0" w:rsidRDefault="00EA2B7A" w:rsidP="00EA2B7A">
            <w:pPr>
              <w:rPr>
                <w:b/>
                <w:bCs/>
                <w:sz w:val="20"/>
                <w:szCs w:val="20"/>
                <w:lang w:val="en-US"/>
              </w:rPr>
            </w:pPr>
            <w:bookmarkStart w:id="1" w:name="Guardianship"/>
            <w:r w:rsidRPr="00B66AB0">
              <w:rPr>
                <w:b/>
                <w:bCs/>
                <w:sz w:val="20"/>
                <w:szCs w:val="20"/>
                <w:lang w:val="en-US"/>
              </w:rPr>
              <w:t xml:space="preserve">Guardianship </w:t>
            </w:r>
          </w:p>
          <w:bookmarkEnd w:id="1"/>
          <w:p w14:paraId="009A1E6F" w14:textId="77777777" w:rsidR="001B1B60" w:rsidRDefault="008961B1" w:rsidP="008961B1">
            <w:pPr>
              <w:rPr>
                <w:sz w:val="20"/>
                <w:szCs w:val="20"/>
                <w:lang w:val="en-US"/>
              </w:rPr>
            </w:pPr>
            <w:r w:rsidRPr="008961B1">
              <w:rPr>
                <w:sz w:val="20"/>
                <w:szCs w:val="20"/>
                <w:lang w:val="en-US"/>
              </w:rPr>
              <w:t>The Commission recommends changes to guardianship to recognise and encourage supported decision-making including seeing guardianship is only a last resort. They recommend that the States and Territories and the Australian Government adopt uniform national decision-making principles.</w:t>
            </w:r>
          </w:p>
          <w:p w14:paraId="3A8E58EB" w14:textId="651C0FE1" w:rsidR="008961B1" w:rsidRPr="008961B1" w:rsidRDefault="008961B1" w:rsidP="008961B1">
            <w:pPr>
              <w:rPr>
                <w:sz w:val="20"/>
                <w:szCs w:val="20"/>
                <w:lang w:val="en-US"/>
              </w:rPr>
            </w:pPr>
            <w:r w:rsidRPr="008961B1">
              <w:rPr>
                <w:sz w:val="20"/>
                <w:szCs w:val="20"/>
                <w:lang w:val="en-US"/>
              </w:rPr>
              <w:t xml:space="preserve"> </w:t>
            </w:r>
          </w:p>
          <w:p w14:paraId="41E3B241" w14:textId="77777777" w:rsidR="00C753DB" w:rsidRDefault="008961B1" w:rsidP="008961B1">
            <w:pPr>
              <w:rPr>
                <w:sz w:val="20"/>
                <w:szCs w:val="20"/>
                <w:lang w:val="en-US"/>
              </w:rPr>
            </w:pPr>
            <w:r w:rsidRPr="008961B1">
              <w:rPr>
                <w:sz w:val="20"/>
                <w:szCs w:val="20"/>
                <w:lang w:val="en-US"/>
              </w:rPr>
              <w:t xml:space="preserve">They recommend scrapping the gag provisions which </w:t>
            </w:r>
            <w:proofErr w:type="gramStart"/>
            <w:r w:rsidRPr="008961B1">
              <w:rPr>
                <w:sz w:val="20"/>
                <w:szCs w:val="20"/>
                <w:lang w:val="en-US"/>
              </w:rPr>
              <w:t>prevents</w:t>
            </w:r>
            <w:proofErr w:type="gramEnd"/>
            <w:r w:rsidRPr="008961B1">
              <w:rPr>
                <w:sz w:val="20"/>
                <w:szCs w:val="20"/>
                <w:lang w:val="en-US"/>
              </w:rPr>
              <w:t xml:space="preserve"> people with disability talking about their lives under guardianship as well as national standards for public advocates, public guardians and public trustees.</w:t>
            </w:r>
          </w:p>
          <w:p w14:paraId="01F5FA01" w14:textId="3A96AFD1" w:rsidR="008961B1" w:rsidRPr="008961B1" w:rsidRDefault="008961B1" w:rsidP="008961B1">
            <w:pPr>
              <w:rPr>
                <w:sz w:val="20"/>
                <w:szCs w:val="20"/>
                <w:lang w:val="en-US"/>
              </w:rPr>
            </w:pPr>
            <w:r w:rsidRPr="008961B1">
              <w:rPr>
                <w:sz w:val="20"/>
                <w:szCs w:val="20"/>
                <w:lang w:val="en-US"/>
              </w:rPr>
              <w:t xml:space="preserve">  </w:t>
            </w:r>
          </w:p>
          <w:p w14:paraId="391D3413" w14:textId="5484A88B" w:rsidR="00EF517C" w:rsidRPr="00B66AB0" w:rsidRDefault="008961B1" w:rsidP="008961B1">
            <w:pPr>
              <w:rPr>
                <w:b/>
                <w:bCs/>
                <w:sz w:val="20"/>
                <w:szCs w:val="20"/>
                <w:lang w:val="en-US"/>
              </w:rPr>
            </w:pPr>
            <w:r w:rsidRPr="008961B1">
              <w:rPr>
                <w:sz w:val="20"/>
                <w:szCs w:val="20"/>
                <w:lang w:val="en-US"/>
              </w:rPr>
              <w:t xml:space="preserve">They also recommend work to support people to </w:t>
            </w:r>
            <w:proofErr w:type="spellStart"/>
            <w:r w:rsidRPr="008961B1">
              <w:rPr>
                <w:sz w:val="20"/>
                <w:szCs w:val="20"/>
                <w:lang w:val="en-US"/>
              </w:rPr>
              <w:t>maximise</w:t>
            </w:r>
            <w:proofErr w:type="spellEnd"/>
            <w:r w:rsidRPr="008961B1">
              <w:rPr>
                <w:sz w:val="20"/>
                <w:szCs w:val="20"/>
                <w:lang w:val="en-US"/>
              </w:rPr>
              <w:t xml:space="preserve"> financial independence and a review of fees and charges applied by public trustees. They recommend sweeping changes to guardianship and administration legislation to enhance the agency of people under orders and to remove presumptions about loss of agency and capacity.</w:t>
            </w:r>
          </w:p>
        </w:tc>
        <w:tc>
          <w:tcPr>
            <w:tcW w:w="5386" w:type="dxa"/>
          </w:tcPr>
          <w:p w14:paraId="0A556DF8" w14:textId="77777777" w:rsidR="008B3308" w:rsidRDefault="008B3308" w:rsidP="0039076E">
            <w:pPr>
              <w:rPr>
                <w:sz w:val="20"/>
                <w:szCs w:val="20"/>
                <w:lang w:val="en-US"/>
              </w:rPr>
            </w:pPr>
          </w:p>
          <w:p w14:paraId="56AEF8A4" w14:textId="70C68125" w:rsidR="00EF517C" w:rsidRPr="00B66AB0" w:rsidRDefault="00EF517C" w:rsidP="0039076E">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008B6E19">
              <w:rPr>
                <w:sz w:val="20"/>
                <w:szCs w:val="20"/>
                <w:lang w:val="en-US"/>
              </w:rPr>
              <w:t xml:space="preserve"> </w:t>
            </w:r>
            <w:r w:rsidRPr="00B66AB0">
              <w:rPr>
                <w:sz w:val="20"/>
                <w:szCs w:val="20"/>
                <w:lang w:val="en-US"/>
              </w:rPr>
              <w:t xml:space="preserve">signal our support for shared approaches to Guardianship </w:t>
            </w:r>
            <w:proofErr w:type="gramStart"/>
            <w:r w:rsidRPr="00B66AB0">
              <w:rPr>
                <w:sz w:val="20"/>
                <w:szCs w:val="20"/>
                <w:lang w:val="en-US"/>
              </w:rPr>
              <w:t>provided that</w:t>
            </w:r>
            <w:proofErr w:type="gramEnd"/>
            <w:r w:rsidRPr="00B66AB0">
              <w:rPr>
                <w:sz w:val="20"/>
                <w:szCs w:val="20"/>
                <w:lang w:val="en-US"/>
              </w:rPr>
              <w:t xml:space="preserve"> they do not remove positive assumptions and protections already enacted.  </w:t>
            </w:r>
          </w:p>
          <w:p w14:paraId="7C389526" w14:textId="77777777" w:rsidR="00F720D8" w:rsidRDefault="00F720D8" w:rsidP="0039076E">
            <w:pPr>
              <w:rPr>
                <w:sz w:val="20"/>
                <w:szCs w:val="20"/>
                <w:lang w:val="en-US"/>
              </w:rPr>
            </w:pPr>
          </w:p>
          <w:p w14:paraId="7863CBE2" w14:textId="34F027EE" w:rsidR="00EF517C" w:rsidRPr="00B66AB0" w:rsidRDefault="00EF517C" w:rsidP="0039076E">
            <w:pPr>
              <w:rPr>
                <w:sz w:val="20"/>
                <w:szCs w:val="20"/>
                <w:lang w:val="en-US"/>
              </w:rPr>
            </w:pPr>
            <w:r w:rsidRPr="00B66AB0">
              <w:rPr>
                <w:sz w:val="20"/>
                <w:szCs w:val="20"/>
                <w:lang w:val="en-US"/>
              </w:rPr>
              <w:t xml:space="preserve">Here in the ACT, we support work to support people to </w:t>
            </w:r>
            <w:proofErr w:type="spellStart"/>
            <w:r w:rsidRPr="00B66AB0">
              <w:rPr>
                <w:sz w:val="20"/>
                <w:szCs w:val="20"/>
                <w:lang w:val="en-US"/>
              </w:rPr>
              <w:t>maximise</w:t>
            </w:r>
            <w:proofErr w:type="spellEnd"/>
            <w:r w:rsidRPr="00B66AB0">
              <w:rPr>
                <w:sz w:val="20"/>
                <w:szCs w:val="20"/>
                <w:lang w:val="en-US"/>
              </w:rPr>
              <w:t xml:space="preserve"> financial independence and a review of fees and charges applied by public trustees. We support work to enhance the agency of people under orders and to remove presumptions about loss of agency and capacity.  </w:t>
            </w:r>
          </w:p>
        </w:tc>
        <w:tc>
          <w:tcPr>
            <w:tcW w:w="9072" w:type="dxa"/>
          </w:tcPr>
          <w:p w14:paraId="20326BA9" w14:textId="5DE831D0" w:rsidR="0027511B" w:rsidRDefault="0027511B">
            <w:pPr>
              <w:rPr>
                <w:i/>
                <w:iCs/>
                <w:sz w:val="20"/>
                <w:szCs w:val="20"/>
              </w:rPr>
            </w:pPr>
            <w:r>
              <w:rPr>
                <w:i/>
                <w:iCs/>
                <w:sz w:val="20"/>
                <w:szCs w:val="20"/>
              </w:rPr>
              <w:t xml:space="preserve">Commonwealth </w:t>
            </w:r>
          </w:p>
          <w:p w14:paraId="3E5E3106" w14:textId="5851CE80" w:rsidR="0027511B" w:rsidRPr="00B403C7" w:rsidRDefault="00533459">
            <w:pPr>
              <w:rPr>
                <w:i/>
                <w:iCs/>
                <w:sz w:val="20"/>
                <w:szCs w:val="20"/>
              </w:rPr>
            </w:pPr>
            <w:r>
              <w:rPr>
                <w:sz w:val="20"/>
                <w:szCs w:val="20"/>
              </w:rPr>
              <w:t xml:space="preserve">The government accepts (in principle) </w:t>
            </w:r>
            <w:r>
              <w:rPr>
                <w:b/>
                <w:bCs/>
                <w:sz w:val="20"/>
                <w:szCs w:val="20"/>
              </w:rPr>
              <w:t xml:space="preserve">Recommendation 6.6 Supported decision-making. </w:t>
            </w:r>
            <w:r w:rsidR="00AF4C6D">
              <w:rPr>
                <w:sz w:val="20"/>
                <w:szCs w:val="20"/>
              </w:rPr>
              <w:t xml:space="preserve">However, </w:t>
            </w:r>
            <w:r w:rsidR="00AF4C6D">
              <w:rPr>
                <w:b/>
                <w:bCs/>
                <w:sz w:val="20"/>
                <w:szCs w:val="20"/>
              </w:rPr>
              <w:t xml:space="preserve">Recommendation 6.20 </w:t>
            </w:r>
            <w:r w:rsidR="00B403C7">
              <w:rPr>
                <w:sz w:val="20"/>
                <w:szCs w:val="20"/>
              </w:rPr>
              <w:t xml:space="preserve">to withdraw its interpretative declaration in relation to Article 12 of the CRPD is subject to further consideration. </w:t>
            </w:r>
          </w:p>
          <w:p w14:paraId="74EA117D" w14:textId="77777777" w:rsidR="0027511B" w:rsidRDefault="0027511B">
            <w:pPr>
              <w:rPr>
                <w:i/>
                <w:iCs/>
                <w:sz w:val="20"/>
                <w:szCs w:val="20"/>
              </w:rPr>
            </w:pPr>
          </w:p>
          <w:p w14:paraId="521B8891" w14:textId="4958F634" w:rsidR="001E4D3C" w:rsidRPr="00A57B9E" w:rsidRDefault="001E4D3C">
            <w:pPr>
              <w:rPr>
                <w:i/>
                <w:sz w:val="20"/>
                <w:szCs w:val="20"/>
              </w:rPr>
            </w:pPr>
            <w:r w:rsidRPr="00A57B9E">
              <w:rPr>
                <w:i/>
                <w:sz w:val="20"/>
                <w:szCs w:val="20"/>
              </w:rPr>
              <w:t xml:space="preserve">ACT </w:t>
            </w:r>
          </w:p>
          <w:p w14:paraId="59646A52" w14:textId="2487C15D" w:rsidR="0097240C" w:rsidRDefault="00B0127D">
            <w:pPr>
              <w:rPr>
                <w:sz w:val="20"/>
                <w:szCs w:val="20"/>
              </w:rPr>
            </w:pPr>
            <w:r>
              <w:rPr>
                <w:sz w:val="20"/>
                <w:szCs w:val="20"/>
              </w:rPr>
              <w:t xml:space="preserve">Broadly </w:t>
            </w:r>
            <w:r w:rsidR="00522B4C">
              <w:rPr>
                <w:sz w:val="20"/>
                <w:szCs w:val="20"/>
              </w:rPr>
              <w:t>accepts</w:t>
            </w:r>
            <w:r>
              <w:rPr>
                <w:sz w:val="20"/>
                <w:szCs w:val="20"/>
              </w:rPr>
              <w:t xml:space="preserve"> all recommendations </w:t>
            </w:r>
            <w:r w:rsidR="00522B4C">
              <w:rPr>
                <w:sz w:val="20"/>
                <w:szCs w:val="20"/>
              </w:rPr>
              <w:t xml:space="preserve">on guardianship recommendations </w:t>
            </w:r>
            <w:r w:rsidR="00F81E50">
              <w:rPr>
                <w:sz w:val="20"/>
                <w:szCs w:val="20"/>
              </w:rPr>
              <w:t xml:space="preserve">with some aspects needing further consideration </w:t>
            </w:r>
            <w:r w:rsidR="00863E2F">
              <w:rPr>
                <w:sz w:val="20"/>
                <w:szCs w:val="20"/>
              </w:rPr>
              <w:t>when considering legislative change.</w:t>
            </w:r>
            <w:r w:rsidR="003738A9">
              <w:rPr>
                <w:sz w:val="20"/>
                <w:szCs w:val="20"/>
              </w:rPr>
              <w:t xml:space="preserve"> All governments recognise substituted decision-making should only be used as a last resort. </w:t>
            </w:r>
          </w:p>
          <w:p w14:paraId="661D5316" w14:textId="77777777" w:rsidR="007B47D3" w:rsidRDefault="007B47D3">
            <w:pPr>
              <w:rPr>
                <w:sz w:val="20"/>
                <w:szCs w:val="20"/>
              </w:rPr>
            </w:pPr>
          </w:p>
          <w:p w14:paraId="167EF16C" w14:textId="5490FD75" w:rsidR="007B47D3" w:rsidRDefault="007B47D3">
            <w:pPr>
              <w:rPr>
                <w:sz w:val="20"/>
                <w:szCs w:val="20"/>
              </w:rPr>
            </w:pPr>
            <w:r>
              <w:rPr>
                <w:sz w:val="20"/>
                <w:szCs w:val="20"/>
              </w:rPr>
              <w:t xml:space="preserve">The ACT </w:t>
            </w:r>
            <w:r w:rsidR="00C6022E">
              <w:rPr>
                <w:sz w:val="20"/>
                <w:szCs w:val="20"/>
              </w:rPr>
              <w:t>does not have any restrictions on di</w:t>
            </w:r>
            <w:r w:rsidR="001B50E3">
              <w:rPr>
                <w:sz w:val="20"/>
                <w:szCs w:val="20"/>
              </w:rPr>
              <w:t>sclosing or publishing personal information about people with disability who are subject to applications and orders for guardianship and administration</w:t>
            </w:r>
            <w:r w:rsidR="007A778F">
              <w:rPr>
                <w:sz w:val="20"/>
                <w:szCs w:val="20"/>
              </w:rPr>
              <w:t>.</w:t>
            </w:r>
          </w:p>
          <w:p w14:paraId="108C3D49" w14:textId="77777777" w:rsidR="00FF789B" w:rsidRDefault="00FF789B">
            <w:pPr>
              <w:rPr>
                <w:sz w:val="20"/>
                <w:szCs w:val="20"/>
              </w:rPr>
            </w:pPr>
          </w:p>
          <w:p w14:paraId="0150AB18" w14:textId="6170AF47" w:rsidR="00FF789B" w:rsidRPr="00FE7501" w:rsidRDefault="00FF789B">
            <w:pPr>
              <w:rPr>
                <w:b/>
                <w:bCs/>
                <w:i/>
                <w:iCs/>
                <w:sz w:val="20"/>
                <w:szCs w:val="20"/>
              </w:rPr>
            </w:pPr>
            <w:r>
              <w:rPr>
                <w:sz w:val="20"/>
                <w:szCs w:val="20"/>
              </w:rPr>
              <w:t xml:space="preserve">The ACT </w:t>
            </w:r>
            <w:r w:rsidR="009F609B">
              <w:rPr>
                <w:i/>
                <w:iCs/>
                <w:sz w:val="20"/>
                <w:szCs w:val="20"/>
              </w:rPr>
              <w:t xml:space="preserve">Guardian and Management of Property Act 1991 </w:t>
            </w:r>
            <w:r w:rsidR="00832908">
              <w:rPr>
                <w:sz w:val="20"/>
                <w:szCs w:val="20"/>
              </w:rPr>
              <w:t xml:space="preserve">has recently been amended. Some of the recommendations are being considered </w:t>
            </w:r>
            <w:proofErr w:type="gramStart"/>
            <w:r w:rsidR="00832908">
              <w:rPr>
                <w:sz w:val="20"/>
                <w:szCs w:val="20"/>
              </w:rPr>
              <w:t>in light of</w:t>
            </w:r>
            <w:proofErr w:type="gramEnd"/>
            <w:r w:rsidR="00832908">
              <w:rPr>
                <w:sz w:val="20"/>
                <w:szCs w:val="20"/>
              </w:rPr>
              <w:t xml:space="preserve"> that process.</w:t>
            </w:r>
            <w:r w:rsidR="00832908" w:rsidRPr="0061016C">
              <w:rPr>
                <w:i/>
                <w:sz w:val="20"/>
                <w:szCs w:val="20"/>
              </w:rPr>
              <w:t xml:space="preserve"> </w:t>
            </w:r>
            <w:r w:rsidR="002B44ED" w:rsidRPr="0061016C">
              <w:rPr>
                <w:b/>
                <w:sz w:val="20"/>
                <w:szCs w:val="20"/>
              </w:rPr>
              <w:t>Recommendation 6.14 Systemic advocacy to promote supported decision</w:t>
            </w:r>
            <w:r w:rsidR="006A5817" w:rsidRPr="0061016C">
              <w:rPr>
                <w:b/>
                <w:sz w:val="20"/>
                <w:szCs w:val="20"/>
              </w:rPr>
              <w:t>-making</w:t>
            </w:r>
            <w:r w:rsidR="006A5817" w:rsidRPr="0061016C">
              <w:rPr>
                <w:b/>
                <w:i/>
                <w:sz w:val="20"/>
                <w:szCs w:val="20"/>
              </w:rPr>
              <w:t xml:space="preserve"> </w:t>
            </w:r>
            <w:r w:rsidR="00FE7501" w:rsidRPr="0061016C">
              <w:rPr>
                <w:i/>
                <w:sz w:val="20"/>
                <w:szCs w:val="20"/>
              </w:rPr>
              <w:t xml:space="preserve">is </w:t>
            </w:r>
            <w:r w:rsidR="00FE7501">
              <w:rPr>
                <w:sz w:val="20"/>
                <w:szCs w:val="20"/>
              </w:rPr>
              <w:t xml:space="preserve">subject to further consideration. The ACT accepts (in full) </w:t>
            </w:r>
            <w:r w:rsidR="00FE7501">
              <w:rPr>
                <w:b/>
                <w:bCs/>
                <w:sz w:val="20"/>
                <w:szCs w:val="20"/>
              </w:rPr>
              <w:t>Recommendation 6.15 Updating the national standards for public advocates, public guardians and public trustees</w:t>
            </w:r>
          </w:p>
          <w:p w14:paraId="18552EDC" w14:textId="77777777" w:rsidR="0097240C" w:rsidRDefault="0097240C">
            <w:pPr>
              <w:rPr>
                <w:sz w:val="20"/>
                <w:szCs w:val="20"/>
              </w:rPr>
            </w:pPr>
          </w:p>
          <w:p w14:paraId="732305B7" w14:textId="77777777" w:rsidR="00EF517C" w:rsidRDefault="00F8373E">
            <w:pPr>
              <w:rPr>
                <w:sz w:val="20"/>
                <w:szCs w:val="20"/>
                <w:lang w:val="en-US"/>
              </w:rPr>
            </w:pPr>
            <w:r>
              <w:rPr>
                <w:b/>
                <w:bCs/>
                <w:sz w:val="20"/>
                <w:szCs w:val="20"/>
                <w:lang w:val="en-US"/>
              </w:rPr>
              <w:t xml:space="preserve">Recommendation 6.16 Financial skills development programs </w:t>
            </w:r>
            <w:r w:rsidR="00970EAC">
              <w:rPr>
                <w:sz w:val="20"/>
                <w:szCs w:val="20"/>
                <w:lang w:val="en-US"/>
              </w:rPr>
              <w:t xml:space="preserve">states that all public </w:t>
            </w:r>
            <w:r w:rsidR="00707BF1">
              <w:rPr>
                <w:sz w:val="20"/>
                <w:szCs w:val="20"/>
                <w:lang w:val="en-US"/>
              </w:rPr>
              <w:t xml:space="preserve">trustees should offer a financial skills development program to people under a representation order appointing the public trustee as a representative. The ACT </w:t>
            </w:r>
            <w:r w:rsidR="00782218">
              <w:rPr>
                <w:sz w:val="20"/>
                <w:szCs w:val="20"/>
                <w:lang w:val="en-US"/>
              </w:rPr>
              <w:t xml:space="preserve">has </w:t>
            </w:r>
            <w:proofErr w:type="spellStart"/>
            <w:r w:rsidR="00782218">
              <w:rPr>
                <w:sz w:val="20"/>
                <w:szCs w:val="20"/>
                <w:lang w:val="en-US"/>
              </w:rPr>
              <w:t>trialled</w:t>
            </w:r>
            <w:proofErr w:type="spellEnd"/>
            <w:r w:rsidR="00782218">
              <w:rPr>
                <w:sz w:val="20"/>
                <w:szCs w:val="20"/>
                <w:lang w:val="en-US"/>
              </w:rPr>
              <w:t xml:space="preserve"> this approach with a small number of clients and will consider the outcomes of this trial and the implications of applying this approach more broadly.</w:t>
            </w:r>
          </w:p>
          <w:p w14:paraId="74BDB7F0" w14:textId="77777777" w:rsidR="0015606D" w:rsidRDefault="0015606D">
            <w:pPr>
              <w:rPr>
                <w:sz w:val="20"/>
                <w:szCs w:val="20"/>
                <w:lang w:val="en-US"/>
              </w:rPr>
            </w:pPr>
          </w:p>
          <w:p w14:paraId="27919AE8" w14:textId="5F2EA5A5" w:rsidR="00EF517C" w:rsidRPr="00B66AB0" w:rsidRDefault="00F86657">
            <w:pPr>
              <w:rPr>
                <w:sz w:val="20"/>
                <w:szCs w:val="20"/>
                <w:lang w:val="en-US"/>
              </w:rPr>
            </w:pPr>
            <w:r>
              <w:rPr>
                <w:sz w:val="20"/>
                <w:szCs w:val="20"/>
                <w:lang w:val="en-US"/>
              </w:rPr>
              <w:t xml:space="preserve">ACT policy is that </w:t>
            </w:r>
            <w:r w:rsidR="0099792B">
              <w:rPr>
                <w:sz w:val="20"/>
                <w:szCs w:val="20"/>
                <w:lang w:val="en-US"/>
              </w:rPr>
              <w:t xml:space="preserve">public trustees’ fees and charges </w:t>
            </w:r>
            <w:r w:rsidR="00935023">
              <w:rPr>
                <w:sz w:val="20"/>
                <w:szCs w:val="20"/>
                <w:lang w:val="en-US"/>
              </w:rPr>
              <w:t xml:space="preserve">be reviewed every 3 years. Currently scheduled for review in the 2024 calendar year. </w:t>
            </w:r>
          </w:p>
        </w:tc>
        <w:tc>
          <w:tcPr>
            <w:tcW w:w="2410" w:type="dxa"/>
          </w:tcPr>
          <w:p w14:paraId="17F08F39" w14:textId="676DFFD9" w:rsidR="00EF517C" w:rsidRPr="00934F10" w:rsidRDefault="00934F10">
            <w:pPr>
              <w:rPr>
                <w:sz w:val="96"/>
                <w:szCs w:val="96"/>
                <w:lang w:val="en-US"/>
              </w:rPr>
            </w:pPr>
            <w:r w:rsidRPr="00934F10">
              <w:rPr>
                <w:color w:val="00B050"/>
                <w:sz w:val="96"/>
                <w:szCs w:val="96"/>
                <w:lang w:val="en-US"/>
              </w:rPr>
              <w:sym w:font="Wingdings" w:char="F0FE"/>
            </w:r>
          </w:p>
        </w:tc>
      </w:tr>
      <w:tr w:rsidR="007578A3" w:rsidRPr="00B66AB0" w14:paraId="23A17B20" w14:textId="77777777" w:rsidTr="00973197">
        <w:tc>
          <w:tcPr>
            <w:tcW w:w="4957" w:type="dxa"/>
          </w:tcPr>
          <w:p w14:paraId="6F5BF7D7" w14:textId="77777777" w:rsidR="00EA2B7A" w:rsidRPr="00B66AB0" w:rsidRDefault="00EA2B7A" w:rsidP="00EA2B7A">
            <w:pPr>
              <w:rPr>
                <w:b/>
                <w:bCs/>
                <w:sz w:val="20"/>
                <w:szCs w:val="20"/>
                <w:lang w:val="en-US"/>
              </w:rPr>
            </w:pPr>
            <w:bookmarkStart w:id="2" w:name="Advocacy"/>
            <w:r w:rsidRPr="00B66AB0">
              <w:rPr>
                <w:b/>
                <w:bCs/>
                <w:sz w:val="20"/>
                <w:szCs w:val="20"/>
                <w:lang w:val="en-US"/>
              </w:rPr>
              <w:t>Advocacy</w:t>
            </w:r>
            <w:bookmarkEnd w:id="2"/>
            <w:r w:rsidRPr="00B66AB0">
              <w:rPr>
                <w:b/>
                <w:bCs/>
                <w:sz w:val="20"/>
                <w:szCs w:val="20"/>
                <w:lang w:val="en-US"/>
              </w:rPr>
              <w:t xml:space="preserve"> </w:t>
            </w:r>
          </w:p>
          <w:p w14:paraId="77F6C48E" w14:textId="6110E154" w:rsidR="00EF517C" w:rsidRPr="0097730D" w:rsidRDefault="0097730D">
            <w:pPr>
              <w:rPr>
                <w:sz w:val="20"/>
                <w:szCs w:val="20"/>
                <w:lang w:val="en-US"/>
              </w:rPr>
            </w:pPr>
            <w:r w:rsidRPr="0097730D">
              <w:rPr>
                <w:sz w:val="20"/>
                <w:szCs w:val="20"/>
                <w:lang w:val="en-US"/>
              </w:rPr>
              <w:lastRenderedPageBreak/>
              <w:t>The Commission recommends improved access to advocacy including increases to advocacy funding.</w:t>
            </w:r>
          </w:p>
        </w:tc>
        <w:tc>
          <w:tcPr>
            <w:tcW w:w="5386" w:type="dxa"/>
          </w:tcPr>
          <w:p w14:paraId="3E735362" w14:textId="77777777" w:rsidR="00213577" w:rsidRDefault="00213577" w:rsidP="0039076E">
            <w:pPr>
              <w:rPr>
                <w:sz w:val="20"/>
                <w:szCs w:val="20"/>
                <w:lang w:val="en-US"/>
              </w:rPr>
            </w:pPr>
          </w:p>
          <w:p w14:paraId="253CAD0D" w14:textId="56BD7D0E" w:rsidR="00EF517C" w:rsidRPr="00B66AB0" w:rsidRDefault="00EF517C" w:rsidP="0039076E">
            <w:pPr>
              <w:rPr>
                <w:sz w:val="20"/>
                <w:szCs w:val="20"/>
                <w:lang w:val="en-US"/>
              </w:rPr>
            </w:pPr>
            <w:r w:rsidRPr="00B66AB0">
              <w:rPr>
                <w:sz w:val="20"/>
                <w:szCs w:val="20"/>
                <w:lang w:val="en-US"/>
              </w:rPr>
              <w:lastRenderedPageBreak/>
              <w:t xml:space="preserve">ACT </w:t>
            </w:r>
            <w:r w:rsidR="00F06EFE">
              <w:rPr>
                <w:sz w:val="20"/>
                <w:szCs w:val="20"/>
                <w:lang w:val="en-US"/>
              </w:rPr>
              <w:t>DPO’s/</w:t>
            </w:r>
            <w:proofErr w:type="spellStart"/>
            <w:r w:rsidR="00F06EFE">
              <w:rPr>
                <w:sz w:val="20"/>
                <w:szCs w:val="20"/>
                <w:lang w:val="en-US"/>
              </w:rPr>
              <w:t>DRO’s</w:t>
            </w:r>
            <w:proofErr w:type="spellEnd"/>
            <w:r w:rsidR="008B6E19">
              <w:rPr>
                <w:sz w:val="20"/>
                <w:szCs w:val="20"/>
                <w:lang w:val="en-US"/>
              </w:rPr>
              <w:t xml:space="preserve"> </w:t>
            </w:r>
            <w:r w:rsidRPr="00B66AB0">
              <w:rPr>
                <w:sz w:val="20"/>
                <w:szCs w:val="20"/>
                <w:lang w:val="en-US"/>
              </w:rPr>
              <w:t xml:space="preserve">signal our support for increased funding under the National Disability Advocacy Framework.  </w:t>
            </w:r>
          </w:p>
          <w:p w14:paraId="401252E7" w14:textId="77777777" w:rsidR="00B4071A" w:rsidRDefault="00B4071A" w:rsidP="0039076E">
            <w:pPr>
              <w:rPr>
                <w:sz w:val="20"/>
                <w:szCs w:val="20"/>
                <w:lang w:val="en-US"/>
              </w:rPr>
            </w:pPr>
          </w:p>
          <w:p w14:paraId="32F0A187" w14:textId="68C09B4A" w:rsidR="00EF517C" w:rsidRPr="00B66AB0" w:rsidRDefault="00EF517C" w:rsidP="0039076E">
            <w:pPr>
              <w:rPr>
                <w:sz w:val="20"/>
                <w:szCs w:val="20"/>
                <w:lang w:val="en-US"/>
              </w:rPr>
            </w:pPr>
            <w:r w:rsidRPr="00B66AB0">
              <w:rPr>
                <w:sz w:val="20"/>
                <w:szCs w:val="20"/>
                <w:lang w:val="en-US"/>
              </w:rPr>
              <w:t xml:space="preserve">Here in the ACT, we note pressing and concerning pressures on advocacy capacity due to program, changes, COVID, disruption, the NDIS and reform agendas across justice, education, health, service commissioning and other matters.  We call for a doubling of Advocacy funding including funding for peaks.  </w:t>
            </w:r>
          </w:p>
        </w:tc>
        <w:tc>
          <w:tcPr>
            <w:tcW w:w="9072" w:type="dxa"/>
          </w:tcPr>
          <w:p w14:paraId="266380E2" w14:textId="28C9A62C" w:rsidR="00114970" w:rsidRPr="00114970" w:rsidRDefault="00114970">
            <w:pPr>
              <w:rPr>
                <w:i/>
                <w:iCs/>
                <w:sz w:val="20"/>
                <w:szCs w:val="20"/>
                <w:lang w:val="en-US"/>
              </w:rPr>
            </w:pPr>
            <w:r>
              <w:rPr>
                <w:i/>
                <w:iCs/>
                <w:sz w:val="20"/>
                <w:szCs w:val="20"/>
                <w:lang w:val="en-US"/>
              </w:rPr>
              <w:lastRenderedPageBreak/>
              <w:t>Commonwealth</w:t>
            </w:r>
          </w:p>
          <w:p w14:paraId="5C7B2EF7" w14:textId="03065E7D" w:rsidR="00EF517C" w:rsidRDefault="005D0073">
            <w:pPr>
              <w:rPr>
                <w:sz w:val="20"/>
                <w:szCs w:val="20"/>
                <w:lang w:val="en-US"/>
              </w:rPr>
            </w:pPr>
            <w:r>
              <w:rPr>
                <w:sz w:val="20"/>
                <w:szCs w:val="20"/>
                <w:lang w:val="en-US"/>
              </w:rPr>
              <w:lastRenderedPageBreak/>
              <w:t xml:space="preserve">The Commonwealth response talks about </w:t>
            </w:r>
            <w:r w:rsidRPr="005D0073">
              <w:rPr>
                <w:sz w:val="20"/>
                <w:szCs w:val="20"/>
                <w:lang w:val="en-US"/>
              </w:rPr>
              <w:t xml:space="preserve">$39.7 </w:t>
            </w:r>
            <w:r w:rsidRPr="009B1827">
              <w:rPr>
                <w:sz w:val="20"/>
                <w:szCs w:val="20"/>
                <w:lang w:val="en-US"/>
              </w:rPr>
              <w:t>million</w:t>
            </w:r>
            <w:r w:rsidR="003F3010" w:rsidRPr="009B1827">
              <w:rPr>
                <w:sz w:val="20"/>
                <w:szCs w:val="20"/>
                <w:lang w:val="en-US"/>
              </w:rPr>
              <w:t xml:space="preserve"> </w:t>
            </w:r>
            <w:r w:rsidRPr="009B1827">
              <w:rPr>
                <w:sz w:val="20"/>
                <w:szCs w:val="20"/>
                <w:lang w:val="en-US"/>
              </w:rPr>
              <w:t>in</w:t>
            </w:r>
            <w:r w:rsidRPr="005D0073">
              <w:rPr>
                <w:sz w:val="20"/>
                <w:szCs w:val="20"/>
                <w:lang w:val="en-US"/>
              </w:rPr>
              <w:t xml:space="preserve"> additional funding to establish a new</w:t>
            </w:r>
            <w:r w:rsidR="008F2BE5">
              <w:rPr>
                <w:sz w:val="20"/>
                <w:szCs w:val="20"/>
                <w:lang w:val="en-US"/>
              </w:rPr>
              <w:t xml:space="preserve"> </w:t>
            </w:r>
            <w:r w:rsidRPr="005D0073">
              <w:rPr>
                <w:sz w:val="20"/>
                <w:szCs w:val="20"/>
                <w:lang w:val="en-US"/>
              </w:rPr>
              <w:t xml:space="preserve">individual disability advocacy program. The new program will bring together current services to establish a </w:t>
            </w:r>
            <w:r w:rsidR="008A1E61">
              <w:rPr>
                <w:sz w:val="20"/>
                <w:szCs w:val="20"/>
                <w:lang w:val="en-US"/>
              </w:rPr>
              <w:t>‘</w:t>
            </w:r>
            <w:r w:rsidRPr="005D0073">
              <w:rPr>
                <w:sz w:val="20"/>
                <w:szCs w:val="20"/>
                <w:lang w:val="en-US"/>
              </w:rPr>
              <w:t>streamlined and cohesive</w:t>
            </w:r>
            <w:r w:rsidR="008A1E61">
              <w:rPr>
                <w:sz w:val="20"/>
                <w:szCs w:val="20"/>
                <w:lang w:val="en-US"/>
              </w:rPr>
              <w:t xml:space="preserve">’ </w:t>
            </w:r>
            <w:r w:rsidRPr="005D0073">
              <w:rPr>
                <w:sz w:val="20"/>
                <w:szCs w:val="20"/>
                <w:lang w:val="en-US"/>
              </w:rPr>
              <w:t xml:space="preserve">delivery model of ongoing individual disability advocacy </w:t>
            </w:r>
            <w:proofErr w:type="gramStart"/>
            <w:r w:rsidRPr="005D0073">
              <w:rPr>
                <w:sz w:val="20"/>
                <w:szCs w:val="20"/>
                <w:lang w:val="en-US"/>
              </w:rPr>
              <w:t>supports</w:t>
            </w:r>
            <w:proofErr w:type="gramEnd"/>
            <w:r w:rsidRPr="005D0073">
              <w:rPr>
                <w:sz w:val="20"/>
                <w:szCs w:val="20"/>
                <w:lang w:val="en-US"/>
              </w:rPr>
              <w:t xml:space="preserve">. </w:t>
            </w:r>
            <w:r w:rsidR="009B1827">
              <w:rPr>
                <w:sz w:val="20"/>
                <w:szCs w:val="20"/>
                <w:lang w:val="en-US"/>
              </w:rPr>
              <w:t xml:space="preserve">Otherwise, the language in the response to the Advocacy recommendations </w:t>
            </w:r>
            <w:r w:rsidR="009348BD">
              <w:rPr>
                <w:sz w:val="20"/>
                <w:szCs w:val="20"/>
                <w:lang w:val="en-US"/>
              </w:rPr>
              <w:t xml:space="preserve">6.21-6.23 is vague and reiterates present work plans. </w:t>
            </w:r>
          </w:p>
          <w:p w14:paraId="4516BE8D" w14:textId="77777777" w:rsidR="00925F75" w:rsidRDefault="00925F75">
            <w:pPr>
              <w:rPr>
                <w:sz w:val="20"/>
                <w:szCs w:val="20"/>
                <w:lang w:val="en-US"/>
              </w:rPr>
            </w:pPr>
          </w:p>
          <w:p w14:paraId="608F8435" w14:textId="77777777" w:rsidR="00925F75" w:rsidRPr="001C11D5" w:rsidRDefault="00925F75">
            <w:pPr>
              <w:rPr>
                <w:i/>
                <w:sz w:val="20"/>
                <w:szCs w:val="20"/>
                <w:lang w:val="en-US"/>
              </w:rPr>
            </w:pPr>
            <w:r w:rsidRPr="001C11D5">
              <w:rPr>
                <w:i/>
                <w:sz w:val="20"/>
                <w:szCs w:val="20"/>
                <w:lang w:val="en-US"/>
              </w:rPr>
              <w:t>ACT</w:t>
            </w:r>
          </w:p>
          <w:p w14:paraId="041E54BB" w14:textId="77777777" w:rsidR="00B25EC8" w:rsidRDefault="009657CB">
            <w:pPr>
              <w:rPr>
                <w:sz w:val="20"/>
                <w:szCs w:val="20"/>
              </w:rPr>
            </w:pPr>
            <w:r w:rsidRPr="009657CB">
              <w:rPr>
                <w:sz w:val="20"/>
                <w:szCs w:val="20"/>
              </w:rPr>
              <w:t xml:space="preserve">Joint response: Accept in principle </w:t>
            </w:r>
          </w:p>
          <w:p w14:paraId="547181C6" w14:textId="71F2A12E" w:rsidR="005D0073" w:rsidRPr="00B66AB0" w:rsidRDefault="009657CB" w:rsidP="005D0073">
            <w:pPr>
              <w:rPr>
                <w:sz w:val="20"/>
                <w:szCs w:val="20"/>
                <w:lang w:val="en-US"/>
              </w:rPr>
            </w:pPr>
            <w:r w:rsidRPr="009657CB">
              <w:rPr>
                <w:sz w:val="20"/>
                <w:szCs w:val="20"/>
              </w:rPr>
              <w:t>Comments: The ACT Government has an ongoing commitment to systemic advocacy and to individual advocacy for people with disability in the ACT. The First Action Plan 2024-2026 of the ACT Disability Strategy 2024-2033 looks at investigating options to deliver self-advocacy program to enable people with disability to better understand and assert their human rights and establish a systemic self-advocacy program for people with intellectual disability.</w:t>
            </w:r>
          </w:p>
        </w:tc>
        <w:tc>
          <w:tcPr>
            <w:tcW w:w="2410" w:type="dxa"/>
          </w:tcPr>
          <w:p w14:paraId="6330A495" w14:textId="77777777" w:rsidR="0012546D" w:rsidRDefault="0012546D">
            <w:pPr>
              <w:rPr>
                <w:sz w:val="20"/>
                <w:szCs w:val="20"/>
                <w:lang w:val="en-US"/>
              </w:rPr>
            </w:pPr>
          </w:p>
          <w:p w14:paraId="57F4615B" w14:textId="77777777" w:rsidR="0012546D" w:rsidRDefault="0012546D">
            <w:pPr>
              <w:rPr>
                <w:sz w:val="20"/>
                <w:szCs w:val="20"/>
                <w:lang w:val="en-US"/>
              </w:rPr>
            </w:pPr>
          </w:p>
          <w:p w14:paraId="228CF5AB" w14:textId="7505263F" w:rsidR="0012546D" w:rsidRPr="00BB512B" w:rsidRDefault="009C19DD">
            <w:pPr>
              <w:rPr>
                <w:b/>
                <w:color w:val="5B9BD5" w:themeColor="accent5"/>
                <w:sz w:val="20"/>
                <w:szCs w:val="2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512B">
              <w:rPr>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w:t>
            </w:r>
          </w:p>
          <w:p w14:paraId="218C6F95" w14:textId="1EBBB7F5" w:rsidR="00EF517C" w:rsidRPr="00B66AB0" w:rsidRDefault="008A1E61">
            <w:pPr>
              <w:rPr>
                <w:sz w:val="20"/>
                <w:szCs w:val="20"/>
                <w:lang w:val="en-US"/>
              </w:rPr>
            </w:pPr>
            <w:r>
              <w:rPr>
                <w:sz w:val="20"/>
                <w:szCs w:val="20"/>
                <w:lang w:val="en-US"/>
              </w:rPr>
              <w:t xml:space="preserve">We are unsure what a </w:t>
            </w:r>
            <w:r w:rsidR="006C0B14">
              <w:rPr>
                <w:sz w:val="20"/>
                <w:szCs w:val="20"/>
                <w:lang w:val="en-US"/>
              </w:rPr>
              <w:t xml:space="preserve">streamlined or cohesive model is </w:t>
            </w:r>
          </w:p>
        </w:tc>
      </w:tr>
      <w:tr w:rsidR="007578A3" w:rsidRPr="00B66AB0" w14:paraId="0810C263" w14:textId="77777777" w:rsidTr="00973197">
        <w:tc>
          <w:tcPr>
            <w:tcW w:w="4957" w:type="dxa"/>
          </w:tcPr>
          <w:p w14:paraId="75D4CAE6" w14:textId="77777777" w:rsidR="00EA2B7A" w:rsidRDefault="00EA2B7A" w:rsidP="00EA2B7A">
            <w:pPr>
              <w:rPr>
                <w:b/>
                <w:bCs/>
                <w:sz w:val="20"/>
                <w:szCs w:val="20"/>
                <w:lang w:val="en-US"/>
              </w:rPr>
            </w:pPr>
            <w:bookmarkStart w:id="3" w:name="Migration"/>
            <w:r w:rsidRPr="00B66AB0">
              <w:rPr>
                <w:b/>
                <w:bCs/>
                <w:sz w:val="20"/>
                <w:szCs w:val="20"/>
                <w:lang w:val="en-US"/>
              </w:rPr>
              <w:lastRenderedPageBreak/>
              <w:t>Migration</w:t>
            </w:r>
          </w:p>
          <w:bookmarkEnd w:id="3"/>
          <w:p w14:paraId="456FAC91" w14:textId="4D955CD1" w:rsidR="0097730D" w:rsidRPr="00B66AB0" w:rsidRDefault="00535F6B" w:rsidP="00EA2B7A">
            <w:pPr>
              <w:rPr>
                <w:b/>
                <w:bCs/>
                <w:sz w:val="20"/>
                <w:szCs w:val="20"/>
                <w:lang w:val="en-US"/>
              </w:rPr>
            </w:pPr>
            <w:r w:rsidRPr="00535F6B">
              <w:rPr>
                <w:sz w:val="20"/>
                <w:szCs w:val="20"/>
                <w:lang w:val="en-US"/>
              </w:rPr>
              <w:t xml:space="preserve">The Commission recommends a review of section 52 of the Migration </w:t>
            </w:r>
            <w:r>
              <w:rPr>
                <w:sz w:val="20"/>
                <w:szCs w:val="20"/>
                <w:lang w:val="en-US"/>
              </w:rPr>
              <w:t>A</w:t>
            </w:r>
            <w:r w:rsidRPr="00535F6B">
              <w:rPr>
                <w:sz w:val="20"/>
                <w:szCs w:val="20"/>
                <w:lang w:val="en-US"/>
              </w:rPr>
              <w:t xml:space="preserve">ct which </w:t>
            </w:r>
            <w:proofErr w:type="spellStart"/>
            <w:r w:rsidRPr="00535F6B">
              <w:rPr>
                <w:sz w:val="20"/>
                <w:szCs w:val="20"/>
                <w:lang w:val="en-US"/>
              </w:rPr>
              <w:t>authorises</w:t>
            </w:r>
            <w:proofErr w:type="spellEnd"/>
            <w:r w:rsidRPr="00535F6B">
              <w:rPr>
                <w:sz w:val="20"/>
                <w:szCs w:val="20"/>
                <w:lang w:val="en-US"/>
              </w:rPr>
              <w:t xml:space="preserve"> discrimination against people with disability seeking to enter Australia</w:t>
            </w:r>
            <w:r w:rsidRPr="00535F6B">
              <w:rPr>
                <w:b/>
                <w:bCs/>
                <w:sz w:val="20"/>
                <w:szCs w:val="20"/>
                <w:lang w:val="en-US"/>
              </w:rPr>
              <w:t>.</w:t>
            </w:r>
          </w:p>
          <w:p w14:paraId="2607A3E0" w14:textId="77777777" w:rsidR="00EF517C" w:rsidRPr="00B66AB0" w:rsidRDefault="00EF517C">
            <w:pPr>
              <w:rPr>
                <w:b/>
                <w:bCs/>
                <w:sz w:val="20"/>
                <w:szCs w:val="20"/>
                <w:lang w:val="en-US"/>
              </w:rPr>
            </w:pPr>
          </w:p>
        </w:tc>
        <w:tc>
          <w:tcPr>
            <w:tcW w:w="5386" w:type="dxa"/>
          </w:tcPr>
          <w:p w14:paraId="24BD8B6C" w14:textId="77777777" w:rsidR="00213577" w:rsidRDefault="00213577">
            <w:pPr>
              <w:rPr>
                <w:sz w:val="20"/>
                <w:szCs w:val="20"/>
                <w:lang w:val="en-US"/>
              </w:rPr>
            </w:pPr>
          </w:p>
          <w:p w14:paraId="04FD45DB" w14:textId="7CE7EEC9" w:rsidR="00EF517C" w:rsidRPr="00B66AB0" w:rsidRDefault="00EF517C">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003C3EAB">
              <w:rPr>
                <w:sz w:val="20"/>
                <w:szCs w:val="20"/>
                <w:lang w:val="en-US"/>
              </w:rPr>
              <w:t xml:space="preserve"> </w:t>
            </w:r>
            <w:r w:rsidRPr="00B66AB0">
              <w:rPr>
                <w:sz w:val="20"/>
                <w:szCs w:val="20"/>
                <w:lang w:val="en-US"/>
              </w:rPr>
              <w:t xml:space="preserve">signal our support </w:t>
            </w:r>
            <w:r w:rsidR="00B4071A">
              <w:rPr>
                <w:sz w:val="20"/>
                <w:szCs w:val="20"/>
                <w:lang w:val="en-US"/>
              </w:rPr>
              <w:t>to</w:t>
            </w:r>
            <w:r w:rsidRPr="00B66AB0">
              <w:rPr>
                <w:sz w:val="20"/>
                <w:szCs w:val="20"/>
                <w:lang w:val="en-US"/>
              </w:rPr>
              <w:t xml:space="preserve"> an immediate end to discriminatory migration policies</w:t>
            </w:r>
          </w:p>
        </w:tc>
        <w:tc>
          <w:tcPr>
            <w:tcW w:w="9072" w:type="dxa"/>
          </w:tcPr>
          <w:p w14:paraId="454AD6D2" w14:textId="77777777" w:rsidR="00C641DA" w:rsidRPr="00C641DA" w:rsidRDefault="00C641DA" w:rsidP="009B3DF0">
            <w:pPr>
              <w:rPr>
                <w:i/>
                <w:iCs/>
                <w:sz w:val="20"/>
                <w:szCs w:val="20"/>
                <w:lang w:val="en-US"/>
              </w:rPr>
            </w:pPr>
            <w:r w:rsidRPr="00C641DA">
              <w:rPr>
                <w:i/>
                <w:iCs/>
                <w:sz w:val="20"/>
                <w:szCs w:val="20"/>
                <w:lang w:val="en-US"/>
              </w:rPr>
              <w:t>Commonwealth</w:t>
            </w:r>
          </w:p>
          <w:p w14:paraId="036DA420" w14:textId="1FC3310D" w:rsidR="00EF517C" w:rsidRPr="00B66AB0" w:rsidRDefault="009B3DF0" w:rsidP="009B3DF0">
            <w:pPr>
              <w:rPr>
                <w:sz w:val="20"/>
                <w:szCs w:val="20"/>
                <w:lang w:val="en-US"/>
              </w:rPr>
            </w:pPr>
            <w:r>
              <w:rPr>
                <w:sz w:val="20"/>
                <w:szCs w:val="20"/>
                <w:lang w:val="en-US"/>
              </w:rPr>
              <w:t xml:space="preserve">The Commonwealth flags </w:t>
            </w:r>
            <w:r w:rsidRPr="009B3DF0">
              <w:rPr>
                <w:sz w:val="20"/>
                <w:szCs w:val="20"/>
                <w:lang w:val="en-US"/>
              </w:rPr>
              <w:t xml:space="preserve">$12.1 million </w:t>
            </w:r>
            <w:r w:rsidR="007910CB">
              <w:rPr>
                <w:sz w:val="20"/>
                <w:szCs w:val="20"/>
                <w:lang w:val="en-US"/>
              </w:rPr>
              <w:t>over four years from 2024-25</w:t>
            </w:r>
            <w:r w:rsidR="00EA55AF">
              <w:rPr>
                <w:sz w:val="20"/>
                <w:szCs w:val="20"/>
                <w:lang w:val="en-US"/>
              </w:rPr>
              <w:t xml:space="preserve"> </w:t>
            </w:r>
            <w:r w:rsidRPr="009B3DF0">
              <w:rPr>
                <w:sz w:val="20"/>
                <w:szCs w:val="20"/>
                <w:lang w:val="en-US"/>
              </w:rPr>
              <w:t>to amend the Migration Health Requirement to be fairer for children with disability who are born and living in Australia.</w:t>
            </w:r>
            <w:r w:rsidR="00A83EDF">
              <w:rPr>
                <w:sz w:val="20"/>
                <w:szCs w:val="20"/>
                <w:lang w:val="en-US"/>
              </w:rPr>
              <w:t xml:space="preserve"> It also mentions </w:t>
            </w:r>
            <w:r w:rsidR="009348BD" w:rsidRPr="009B3DF0">
              <w:rPr>
                <w:sz w:val="20"/>
                <w:szCs w:val="20"/>
                <w:lang w:val="en-US"/>
              </w:rPr>
              <w:t>$</w:t>
            </w:r>
            <w:r w:rsidR="00A83EDF">
              <w:rPr>
                <w:sz w:val="20"/>
                <w:szCs w:val="20"/>
                <w:lang w:val="en-US"/>
              </w:rPr>
              <w:t xml:space="preserve">5.2 million ongoing to enable special consideration for child visa applicants born and </w:t>
            </w:r>
            <w:r w:rsidR="0040308C">
              <w:rPr>
                <w:sz w:val="20"/>
                <w:szCs w:val="20"/>
                <w:lang w:val="en-US"/>
              </w:rPr>
              <w:t xml:space="preserve">resident in Australia with a health condition or disability to enable the grant of a visa. </w:t>
            </w:r>
          </w:p>
        </w:tc>
        <w:tc>
          <w:tcPr>
            <w:tcW w:w="2410" w:type="dxa"/>
          </w:tcPr>
          <w:p w14:paraId="203E10A1" w14:textId="3F3EE66C" w:rsidR="00EF517C" w:rsidRPr="00B66AB0" w:rsidRDefault="00BB512B">
            <w:pPr>
              <w:rPr>
                <w:sz w:val="20"/>
                <w:szCs w:val="20"/>
                <w:lang w:val="en-US"/>
              </w:rPr>
            </w:pPr>
            <w:r w:rsidRPr="00934F10">
              <w:rPr>
                <w:color w:val="00B050"/>
                <w:sz w:val="96"/>
                <w:szCs w:val="96"/>
                <w:lang w:val="en-US"/>
              </w:rPr>
              <w:sym w:font="Wingdings" w:char="F0FE"/>
            </w:r>
          </w:p>
        </w:tc>
      </w:tr>
      <w:tr w:rsidR="007578A3" w:rsidRPr="00B66AB0" w14:paraId="0D581C51" w14:textId="77777777" w:rsidTr="00973197">
        <w:tc>
          <w:tcPr>
            <w:tcW w:w="4957" w:type="dxa"/>
          </w:tcPr>
          <w:p w14:paraId="2BF7EF46" w14:textId="77777777" w:rsidR="00EA2B7A" w:rsidRPr="00B66AB0" w:rsidRDefault="00EA2B7A" w:rsidP="00EA2B7A">
            <w:pPr>
              <w:rPr>
                <w:b/>
                <w:bCs/>
                <w:sz w:val="20"/>
                <w:szCs w:val="20"/>
                <w:lang w:val="en-US"/>
              </w:rPr>
            </w:pPr>
            <w:bookmarkStart w:id="4" w:name="Governance"/>
            <w:r w:rsidRPr="00B66AB0">
              <w:rPr>
                <w:b/>
                <w:bCs/>
                <w:sz w:val="20"/>
                <w:szCs w:val="20"/>
                <w:lang w:val="en-US"/>
              </w:rPr>
              <w:t xml:space="preserve">Governance and disability policy </w:t>
            </w:r>
          </w:p>
          <w:bookmarkEnd w:id="4"/>
          <w:p w14:paraId="084C3A51" w14:textId="77777777" w:rsidR="00986676" w:rsidRPr="00986676" w:rsidRDefault="00986676" w:rsidP="00986676">
            <w:pPr>
              <w:rPr>
                <w:sz w:val="20"/>
                <w:szCs w:val="20"/>
                <w:lang w:val="en-US"/>
              </w:rPr>
            </w:pPr>
            <w:r w:rsidRPr="00986676">
              <w:rPr>
                <w:sz w:val="20"/>
                <w:szCs w:val="20"/>
                <w:lang w:val="en-US"/>
              </w:rPr>
              <w:t>The Commission recommends a specific portfolio and a Minister for Disability and Inclusion along with a Department of Disability Equality and Inclusion with people with disability in leadership positions.</w:t>
            </w:r>
          </w:p>
          <w:p w14:paraId="6D6E784D" w14:textId="77777777" w:rsidR="002368DA" w:rsidRPr="00986676" w:rsidRDefault="002368DA" w:rsidP="00986676">
            <w:pPr>
              <w:rPr>
                <w:sz w:val="20"/>
                <w:szCs w:val="20"/>
                <w:lang w:val="en-US"/>
              </w:rPr>
            </w:pPr>
          </w:p>
          <w:p w14:paraId="6F65D8B7" w14:textId="77777777" w:rsidR="00986676" w:rsidRPr="00986676" w:rsidRDefault="00986676" w:rsidP="00986676">
            <w:pPr>
              <w:rPr>
                <w:sz w:val="20"/>
                <w:szCs w:val="20"/>
                <w:lang w:val="en-US"/>
              </w:rPr>
            </w:pPr>
            <w:r w:rsidRPr="00986676">
              <w:rPr>
                <w:sz w:val="20"/>
                <w:szCs w:val="20"/>
                <w:lang w:val="en-US"/>
              </w:rPr>
              <w:t>The Commission recommends that the Australian government and state and territory governments should develop a new national disability agreement to be signed by first ministers which provides a framework for intergovernmental collaboration about the NDIS and Australia’s disability strategy by the end of 2024.</w:t>
            </w:r>
          </w:p>
          <w:p w14:paraId="7B4CA4B6" w14:textId="77777777" w:rsidR="00F47862" w:rsidRDefault="00F47862" w:rsidP="00986676">
            <w:pPr>
              <w:rPr>
                <w:sz w:val="20"/>
                <w:szCs w:val="20"/>
                <w:lang w:val="en-US"/>
              </w:rPr>
            </w:pPr>
          </w:p>
          <w:p w14:paraId="3137D387" w14:textId="6C537F67" w:rsidR="00986676" w:rsidRPr="00986676" w:rsidRDefault="00986676" w:rsidP="00986676">
            <w:pPr>
              <w:rPr>
                <w:sz w:val="20"/>
                <w:szCs w:val="20"/>
                <w:lang w:val="en-US"/>
              </w:rPr>
            </w:pPr>
            <w:r w:rsidRPr="00986676">
              <w:rPr>
                <w:sz w:val="20"/>
                <w:szCs w:val="20"/>
                <w:lang w:val="en-US"/>
              </w:rPr>
              <w:t xml:space="preserve">They also recommend that the Australian Disability Strategy should be aligned with the recommendations of the commission by the end of 2024 with reviews of the state and territory strategies by mid-2025. The commission also recommends that a range of intergovernmental agreements, such as the Housing and Homelessness Agreement and Closing the Gap, should be reviewed to ensure outcomes for people with disability </w:t>
            </w:r>
          </w:p>
          <w:p w14:paraId="1E61C53D" w14:textId="77777777" w:rsidR="00F47862" w:rsidRDefault="00F47862" w:rsidP="00986676">
            <w:pPr>
              <w:rPr>
                <w:sz w:val="20"/>
                <w:szCs w:val="20"/>
                <w:lang w:val="en-US"/>
              </w:rPr>
            </w:pPr>
          </w:p>
          <w:p w14:paraId="7A74D1CC" w14:textId="5A4B8608" w:rsidR="00EF517C" w:rsidRPr="00B66AB0" w:rsidRDefault="00986676" w:rsidP="00986676">
            <w:pPr>
              <w:rPr>
                <w:b/>
                <w:bCs/>
                <w:sz w:val="20"/>
                <w:szCs w:val="20"/>
                <w:lang w:val="en-US"/>
              </w:rPr>
            </w:pPr>
            <w:r w:rsidRPr="00986676">
              <w:rPr>
                <w:sz w:val="20"/>
                <w:szCs w:val="20"/>
                <w:lang w:val="en-US"/>
              </w:rPr>
              <w:t>There should be state and territory focal points for the implementation of the CRPD.</w:t>
            </w:r>
          </w:p>
        </w:tc>
        <w:tc>
          <w:tcPr>
            <w:tcW w:w="5386" w:type="dxa"/>
          </w:tcPr>
          <w:p w14:paraId="78FCF574" w14:textId="77777777" w:rsidR="00FB2CF9" w:rsidRDefault="00FB2CF9" w:rsidP="0039076E">
            <w:pPr>
              <w:rPr>
                <w:sz w:val="20"/>
                <w:szCs w:val="20"/>
                <w:lang w:val="en-US"/>
              </w:rPr>
            </w:pPr>
          </w:p>
          <w:p w14:paraId="42F5D56E" w14:textId="6E36EEE0" w:rsidR="00EF517C" w:rsidRPr="00B66AB0" w:rsidRDefault="00EF517C" w:rsidP="0039076E">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00A45095">
              <w:rPr>
                <w:sz w:val="20"/>
                <w:szCs w:val="20"/>
                <w:lang w:val="en-US"/>
              </w:rPr>
              <w:t xml:space="preserve"> </w:t>
            </w:r>
            <w:r w:rsidRPr="00B66AB0">
              <w:rPr>
                <w:sz w:val="20"/>
                <w:szCs w:val="20"/>
                <w:lang w:val="en-US"/>
              </w:rPr>
              <w:t>signal our support for a dedicated Federal Ministry and a new national disability agreement.  We support the inclusion of dedicated requirements, funding and reporting within all bilateral agreements especially those concerned with housing, education, closing the gap, health, infrastructure and municipal services</w:t>
            </w:r>
            <w:r w:rsidR="004F2740">
              <w:rPr>
                <w:sz w:val="20"/>
                <w:szCs w:val="20"/>
                <w:lang w:val="en-US"/>
              </w:rPr>
              <w:t>.</w:t>
            </w:r>
            <w:r w:rsidRPr="00B66AB0">
              <w:rPr>
                <w:sz w:val="20"/>
                <w:szCs w:val="20"/>
                <w:lang w:val="en-US"/>
              </w:rPr>
              <w:t xml:space="preserve"> </w:t>
            </w:r>
          </w:p>
          <w:p w14:paraId="12614BFB" w14:textId="77777777" w:rsidR="005A2AB8" w:rsidRDefault="005A2AB8" w:rsidP="0039076E">
            <w:pPr>
              <w:rPr>
                <w:sz w:val="20"/>
                <w:szCs w:val="20"/>
                <w:lang w:val="en-US"/>
              </w:rPr>
            </w:pPr>
          </w:p>
          <w:p w14:paraId="05FE17E6" w14:textId="1F01521B" w:rsidR="00EF517C" w:rsidRPr="00B66AB0" w:rsidRDefault="00EF517C" w:rsidP="0039076E">
            <w:pPr>
              <w:rPr>
                <w:sz w:val="20"/>
                <w:szCs w:val="20"/>
                <w:lang w:val="en-US"/>
              </w:rPr>
            </w:pPr>
            <w:r w:rsidRPr="00B66AB0">
              <w:rPr>
                <w:sz w:val="20"/>
                <w:szCs w:val="20"/>
                <w:lang w:val="en-US"/>
              </w:rPr>
              <w:t xml:space="preserve">Here in the ACT, we support prompt and fulsome responses through an ACT Disability Strategy, the ACT Health Strategy and an Inclusive Education Strategy </w:t>
            </w:r>
            <w:r w:rsidR="0038715C" w:rsidRPr="00B66AB0">
              <w:rPr>
                <w:sz w:val="20"/>
                <w:szCs w:val="20"/>
                <w:lang w:val="en-US"/>
              </w:rPr>
              <w:t>focused</w:t>
            </w:r>
            <w:r w:rsidRPr="00B66AB0">
              <w:rPr>
                <w:sz w:val="20"/>
                <w:szCs w:val="20"/>
                <w:lang w:val="en-US"/>
              </w:rPr>
              <w:t xml:space="preserve"> on improving access to mainstream education.  These strategies should be robust, backed by investments and policy and evaluation capacity.  </w:t>
            </w:r>
          </w:p>
        </w:tc>
        <w:tc>
          <w:tcPr>
            <w:tcW w:w="9072" w:type="dxa"/>
          </w:tcPr>
          <w:p w14:paraId="1B98E0B4" w14:textId="66EFC466" w:rsidR="00D243C6" w:rsidRPr="00D243C6" w:rsidRDefault="00D243C6">
            <w:pPr>
              <w:rPr>
                <w:i/>
                <w:iCs/>
                <w:sz w:val="20"/>
                <w:szCs w:val="20"/>
                <w:lang w:val="en-US"/>
              </w:rPr>
            </w:pPr>
            <w:r w:rsidRPr="00D243C6">
              <w:rPr>
                <w:i/>
                <w:iCs/>
                <w:sz w:val="20"/>
                <w:szCs w:val="20"/>
                <w:lang w:val="en-US"/>
              </w:rPr>
              <w:t xml:space="preserve">Commonwealth </w:t>
            </w:r>
          </w:p>
          <w:p w14:paraId="4747D8DB" w14:textId="144E3564" w:rsidR="00EF517C" w:rsidRDefault="004D1FBE">
            <w:pPr>
              <w:rPr>
                <w:sz w:val="20"/>
                <w:szCs w:val="20"/>
                <w:lang w:val="en-US"/>
              </w:rPr>
            </w:pPr>
            <w:r>
              <w:rPr>
                <w:sz w:val="20"/>
                <w:szCs w:val="20"/>
                <w:lang w:val="en-US"/>
              </w:rPr>
              <w:t xml:space="preserve">The Commonwealth </w:t>
            </w:r>
            <w:r w:rsidR="00D818C2">
              <w:rPr>
                <w:sz w:val="20"/>
                <w:szCs w:val="20"/>
                <w:lang w:val="en-US"/>
              </w:rPr>
              <w:t>has not agreed to create a new Ministry or a new national funding agreement</w:t>
            </w:r>
            <w:r w:rsidR="008116E0">
              <w:rPr>
                <w:sz w:val="20"/>
                <w:szCs w:val="20"/>
                <w:lang w:val="en-US"/>
              </w:rPr>
              <w:t xml:space="preserve">. Instead, it merely ‘noted’ </w:t>
            </w:r>
            <w:r w:rsidR="00650B89" w:rsidRPr="00F579D4">
              <w:rPr>
                <w:b/>
                <w:sz w:val="20"/>
                <w:szCs w:val="20"/>
                <w:lang w:val="en-US"/>
              </w:rPr>
              <w:t>Recommendation 5.6 new governance arrangements for disability</w:t>
            </w:r>
            <w:r w:rsidR="00D84315">
              <w:rPr>
                <w:b/>
                <w:bCs/>
                <w:i/>
                <w:iCs/>
                <w:sz w:val="20"/>
                <w:szCs w:val="20"/>
                <w:lang w:val="en-US"/>
              </w:rPr>
              <w:t xml:space="preserve">, </w:t>
            </w:r>
            <w:r w:rsidR="00D84315">
              <w:rPr>
                <w:sz w:val="20"/>
                <w:szCs w:val="20"/>
                <w:lang w:val="en-US"/>
              </w:rPr>
              <w:t xml:space="preserve">choosing instead to </w:t>
            </w:r>
            <w:r w:rsidR="008F4810">
              <w:rPr>
                <w:sz w:val="20"/>
                <w:szCs w:val="20"/>
                <w:lang w:val="en-US"/>
              </w:rPr>
              <w:t>provide an overview of the governance arrangements already in place.</w:t>
            </w:r>
            <w:r w:rsidR="00D818C2">
              <w:rPr>
                <w:sz w:val="20"/>
                <w:szCs w:val="20"/>
                <w:lang w:val="en-US"/>
              </w:rPr>
              <w:t xml:space="preserve"> </w:t>
            </w:r>
          </w:p>
          <w:p w14:paraId="6EE13019" w14:textId="77777777" w:rsidR="00407AA8" w:rsidRDefault="00407AA8">
            <w:pPr>
              <w:rPr>
                <w:sz w:val="20"/>
                <w:szCs w:val="20"/>
                <w:lang w:val="en-US"/>
              </w:rPr>
            </w:pPr>
          </w:p>
          <w:p w14:paraId="37173672" w14:textId="0EC5CDDB" w:rsidR="00D243C6" w:rsidRPr="00D243C6" w:rsidRDefault="00D243C6">
            <w:pPr>
              <w:rPr>
                <w:i/>
                <w:iCs/>
                <w:sz w:val="20"/>
                <w:szCs w:val="20"/>
                <w:lang w:val="en-US"/>
              </w:rPr>
            </w:pPr>
            <w:r w:rsidRPr="00D243C6">
              <w:rPr>
                <w:i/>
                <w:iCs/>
                <w:sz w:val="20"/>
                <w:szCs w:val="20"/>
                <w:lang w:val="en-US"/>
              </w:rPr>
              <w:t>ACT</w:t>
            </w:r>
          </w:p>
          <w:p w14:paraId="6231BDB7" w14:textId="6DDBF9C6" w:rsidR="003E38E5" w:rsidRPr="00F579D4" w:rsidRDefault="003E38E5">
            <w:pPr>
              <w:rPr>
                <w:b/>
                <w:sz w:val="20"/>
                <w:szCs w:val="20"/>
                <w:lang w:val="en-US"/>
              </w:rPr>
            </w:pPr>
            <w:r w:rsidRPr="00F579D4">
              <w:rPr>
                <w:b/>
                <w:sz w:val="20"/>
                <w:szCs w:val="20"/>
              </w:rPr>
              <w:t>Recommendation 5.1 Development of a National Disability Agreement</w:t>
            </w:r>
          </w:p>
          <w:p w14:paraId="4FFF3188" w14:textId="45845548" w:rsidR="00407AA8" w:rsidRPr="00F62628" w:rsidRDefault="00407AA8" w:rsidP="00B7683F">
            <w:pPr>
              <w:rPr>
                <w:sz w:val="20"/>
                <w:szCs w:val="20"/>
              </w:rPr>
            </w:pPr>
            <w:r w:rsidRPr="00407AA8">
              <w:rPr>
                <w:sz w:val="20"/>
                <w:szCs w:val="20"/>
              </w:rPr>
              <w:t>Work is already underway in response to the Disability Royal Commission’s recommendations, supported by a more than $13.9 million investment in the 2024-25 ACT Budget.</w:t>
            </w:r>
            <w:r w:rsidR="00F62628">
              <w:rPr>
                <w:sz w:val="20"/>
                <w:szCs w:val="20"/>
              </w:rPr>
              <w:t xml:space="preserve"> </w:t>
            </w:r>
            <w:r w:rsidRPr="00407AA8">
              <w:rPr>
                <w:sz w:val="20"/>
                <w:szCs w:val="20"/>
              </w:rPr>
              <w:t xml:space="preserve">This includes funding to implement the First Action Plan of the </w:t>
            </w:r>
            <w:r w:rsidRPr="00407AA8">
              <w:rPr>
                <w:sz w:val="20"/>
                <w:szCs w:val="20"/>
                <w:lang w:val="en-US"/>
              </w:rPr>
              <w:t xml:space="preserve">ACT Disability Strategy 2024-2033 (Strategy). </w:t>
            </w:r>
          </w:p>
          <w:p w14:paraId="0C1C1164" w14:textId="77777777" w:rsidR="00407AA8" w:rsidRPr="00407AA8" w:rsidRDefault="00407AA8" w:rsidP="00407AA8">
            <w:pPr>
              <w:rPr>
                <w:sz w:val="20"/>
                <w:szCs w:val="20"/>
                <w:lang w:val="en-US"/>
              </w:rPr>
            </w:pPr>
            <w:r w:rsidRPr="00407AA8">
              <w:rPr>
                <w:sz w:val="20"/>
                <w:szCs w:val="20"/>
                <w:lang w:val="en-US"/>
              </w:rPr>
              <w:t>The Strategy guides how the ACT Government works to create a more inclusive Canberra with a focus on changing attitudes and building capacity across the community.</w:t>
            </w:r>
          </w:p>
          <w:p w14:paraId="76959AEA" w14:textId="77777777" w:rsidR="002D7A02" w:rsidRDefault="002D7A02" w:rsidP="00407AA8">
            <w:pPr>
              <w:rPr>
                <w:sz w:val="20"/>
                <w:szCs w:val="20"/>
                <w:lang w:val="en-US"/>
              </w:rPr>
            </w:pPr>
          </w:p>
          <w:p w14:paraId="2BD3DAC8" w14:textId="7E8CB200" w:rsidR="00407AA8" w:rsidRPr="00407AA8" w:rsidRDefault="00407AA8" w:rsidP="00407AA8">
            <w:pPr>
              <w:rPr>
                <w:sz w:val="20"/>
                <w:szCs w:val="20"/>
                <w:lang w:val="en-US"/>
              </w:rPr>
            </w:pPr>
            <w:r w:rsidRPr="00407AA8">
              <w:rPr>
                <w:sz w:val="20"/>
                <w:szCs w:val="20"/>
                <w:lang w:val="en-US"/>
              </w:rPr>
              <w:t>The Budget also supports the establishment of an ACT Government taskforce to progress disability reform work, including implementing the Disability Royal Commission recommendations and supporting the development and delivery of foundational supports in response to the NDIS review.</w:t>
            </w:r>
          </w:p>
          <w:p w14:paraId="1D857F35" w14:textId="2453E96E" w:rsidR="00904F1C" w:rsidRPr="00407AA8" w:rsidRDefault="00904F1C" w:rsidP="00407AA8">
            <w:pPr>
              <w:rPr>
                <w:sz w:val="20"/>
                <w:szCs w:val="20"/>
                <w:lang w:val="en-US"/>
              </w:rPr>
            </w:pPr>
          </w:p>
          <w:p w14:paraId="797CFFFF" w14:textId="77777777" w:rsidR="00407AA8" w:rsidRPr="00407AA8" w:rsidRDefault="00407AA8" w:rsidP="00407AA8">
            <w:pPr>
              <w:rPr>
                <w:sz w:val="20"/>
                <w:szCs w:val="20"/>
                <w:lang w:val="en-US"/>
              </w:rPr>
            </w:pPr>
            <w:r w:rsidRPr="00407AA8">
              <w:rPr>
                <w:sz w:val="20"/>
                <w:szCs w:val="20"/>
                <w:lang w:val="en-US"/>
              </w:rPr>
              <w:t>In addition, $14.4 million was allocated in the 2023-24 Budget Review to commence implementation of the Inclusive Education: A Disability Inclusion Strategy for ACT public schools 2024- 34 and the Disability Health Strategy First Action Plan 2024-2026.</w:t>
            </w:r>
          </w:p>
          <w:p w14:paraId="10B211F5" w14:textId="77777777" w:rsidR="002D7A02" w:rsidRDefault="002D7A02" w:rsidP="00407AA8">
            <w:pPr>
              <w:rPr>
                <w:sz w:val="20"/>
                <w:szCs w:val="20"/>
                <w:lang w:val="en-US"/>
              </w:rPr>
            </w:pPr>
          </w:p>
          <w:p w14:paraId="4B75D591" w14:textId="6464F905" w:rsidR="00407AA8" w:rsidRPr="00407AA8" w:rsidRDefault="00407AA8" w:rsidP="00407AA8">
            <w:pPr>
              <w:rPr>
                <w:sz w:val="20"/>
                <w:szCs w:val="20"/>
                <w:lang w:val="en-US"/>
              </w:rPr>
            </w:pPr>
            <w:r w:rsidRPr="00407AA8">
              <w:rPr>
                <w:sz w:val="20"/>
                <w:szCs w:val="20"/>
                <w:lang w:val="en-US"/>
              </w:rPr>
              <w:t xml:space="preserve">The formal response to the Disability Royal Commission recommendations, together with work under these action plans, will work to promote and protect the human rights of people with disability in the ACT. </w:t>
            </w:r>
          </w:p>
          <w:p w14:paraId="4E1E2535" w14:textId="77777777" w:rsidR="0056363B" w:rsidRDefault="0056363B" w:rsidP="00407AA8">
            <w:pPr>
              <w:rPr>
                <w:b/>
                <w:bCs/>
                <w:sz w:val="20"/>
                <w:szCs w:val="20"/>
              </w:rPr>
            </w:pPr>
          </w:p>
          <w:p w14:paraId="7FE7946A" w14:textId="00C029BB" w:rsidR="004D1FBE" w:rsidRPr="00ED466A" w:rsidRDefault="00ED466A">
            <w:pPr>
              <w:rPr>
                <w:b/>
                <w:sz w:val="20"/>
                <w:szCs w:val="20"/>
                <w:lang w:val="en-US"/>
              </w:rPr>
            </w:pPr>
            <w:r>
              <w:rPr>
                <w:sz w:val="20"/>
                <w:szCs w:val="20"/>
              </w:rPr>
              <w:t xml:space="preserve">On </w:t>
            </w:r>
            <w:r w:rsidR="005717A8" w:rsidRPr="00C848F5">
              <w:rPr>
                <w:b/>
                <w:bCs/>
                <w:sz w:val="20"/>
                <w:szCs w:val="20"/>
              </w:rPr>
              <w:t>Recommendation 5.7 Focal points across jurisdictions to implement the CRPD</w:t>
            </w:r>
            <w:r>
              <w:rPr>
                <w:b/>
                <w:bCs/>
                <w:sz w:val="20"/>
                <w:szCs w:val="20"/>
              </w:rPr>
              <w:t>, t</w:t>
            </w:r>
            <w:r w:rsidR="00422147" w:rsidRPr="00422147">
              <w:rPr>
                <w:sz w:val="20"/>
                <w:szCs w:val="20"/>
              </w:rPr>
              <w:t>he ACT Government is committed to the CRPD and through the work of the Office for Disability is actively engaged in working across article areas of the CRPD.</w:t>
            </w:r>
          </w:p>
        </w:tc>
        <w:tc>
          <w:tcPr>
            <w:tcW w:w="2410" w:type="dxa"/>
          </w:tcPr>
          <w:p w14:paraId="723599BF" w14:textId="4123B0B9" w:rsidR="00EF517C" w:rsidRPr="00B66AB0" w:rsidRDefault="00BB512B">
            <w:pPr>
              <w:rPr>
                <w:sz w:val="20"/>
                <w:szCs w:val="20"/>
                <w:lang w:val="en-US"/>
              </w:rPr>
            </w:pPr>
            <w:r w:rsidRPr="00D30816">
              <w:rPr>
                <w:color w:val="FF0000"/>
                <w:sz w:val="96"/>
                <w:szCs w:val="96"/>
                <w:lang w:val="en-US"/>
              </w:rPr>
              <w:sym w:font="Wingdings" w:char="F078"/>
            </w:r>
          </w:p>
        </w:tc>
      </w:tr>
      <w:tr w:rsidR="007578A3" w:rsidRPr="00B66AB0" w14:paraId="289BBBA0" w14:textId="77777777" w:rsidTr="00973197">
        <w:tc>
          <w:tcPr>
            <w:tcW w:w="4957" w:type="dxa"/>
          </w:tcPr>
          <w:p w14:paraId="4334C143" w14:textId="77777777" w:rsidR="00EA2B7A" w:rsidRPr="00B66AB0" w:rsidRDefault="00EA2B7A" w:rsidP="00EA2B7A">
            <w:pPr>
              <w:rPr>
                <w:b/>
                <w:bCs/>
                <w:sz w:val="20"/>
                <w:szCs w:val="20"/>
                <w:lang w:val="en-US"/>
              </w:rPr>
            </w:pPr>
            <w:bookmarkStart w:id="5" w:name="Information"/>
            <w:r w:rsidRPr="00B66AB0">
              <w:rPr>
                <w:b/>
                <w:bCs/>
                <w:sz w:val="20"/>
                <w:szCs w:val="20"/>
                <w:lang w:val="en-US"/>
              </w:rPr>
              <w:t xml:space="preserve">Accessible information </w:t>
            </w:r>
          </w:p>
          <w:bookmarkEnd w:id="5"/>
          <w:p w14:paraId="4336A20D" w14:textId="7E6379AA" w:rsidR="00EF517C" w:rsidRPr="008D60B3" w:rsidRDefault="008D60B3">
            <w:pPr>
              <w:rPr>
                <w:sz w:val="20"/>
                <w:szCs w:val="20"/>
                <w:lang w:val="en-US"/>
              </w:rPr>
            </w:pPr>
            <w:r w:rsidRPr="008D60B3">
              <w:rPr>
                <w:sz w:val="20"/>
                <w:szCs w:val="20"/>
                <w:lang w:val="en-US"/>
              </w:rPr>
              <w:t xml:space="preserve">The Commission recommends a national plan to promote accessible information and communications with an initial focus on responding to emergencies and natural disasters and an increase in the number of </w:t>
            </w:r>
            <w:proofErr w:type="spellStart"/>
            <w:r w:rsidRPr="008D60B3">
              <w:rPr>
                <w:sz w:val="20"/>
                <w:szCs w:val="20"/>
                <w:lang w:val="en-US"/>
              </w:rPr>
              <w:t>Auslan</w:t>
            </w:r>
            <w:proofErr w:type="spellEnd"/>
            <w:r w:rsidRPr="008D60B3">
              <w:rPr>
                <w:sz w:val="20"/>
                <w:szCs w:val="20"/>
                <w:lang w:val="en-US"/>
              </w:rPr>
              <w:t xml:space="preserve"> interpreters.</w:t>
            </w:r>
          </w:p>
        </w:tc>
        <w:tc>
          <w:tcPr>
            <w:tcW w:w="5386" w:type="dxa"/>
          </w:tcPr>
          <w:p w14:paraId="14A17745" w14:textId="77777777" w:rsidR="00395586" w:rsidRDefault="00395586" w:rsidP="0039076E">
            <w:pPr>
              <w:rPr>
                <w:sz w:val="20"/>
                <w:szCs w:val="20"/>
                <w:lang w:val="en-US"/>
              </w:rPr>
            </w:pPr>
          </w:p>
          <w:p w14:paraId="31DDE06A" w14:textId="456A2886" w:rsidR="00EF517C" w:rsidRPr="00B66AB0" w:rsidRDefault="00EF517C" w:rsidP="0039076E">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0038715C">
              <w:rPr>
                <w:sz w:val="20"/>
                <w:szCs w:val="20"/>
                <w:lang w:val="en-US"/>
              </w:rPr>
              <w:t xml:space="preserve"> </w:t>
            </w:r>
            <w:r w:rsidRPr="00B66AB0">
              <w:rPr>
                <w:sz w:val="20"/>
                <w:szCs w:val="20"/>
                <w:lang w:val="en-US"/>
              </w:rPr>
              <w:t>signal our support for dedicated and purposeful national work on accessible information.</w:t>
            </w:r>
          </w:p>
          <w:p w14:paraId="5D0F8E29" w14:textId="77777777" w:rsidR="007568D0" w:rsidRDefault="007568D0" w:rsidP="0039076E">
            <w:pPr>
              <w:rPr>
                <w:sz w:val="20"/>
                <w:szCs w:val="20"/>
                <w:lang w:val="en-US"/>
              </w:rPr>
            </w:pPr>
          </w:p>
          <w:p w14:paraId="08430082" w14:textId="4F431F2B" w:rsidR="00EF517C" w:rsidRPr="00B66AB0" w:rsidRDefault="00EF517C" w:rsidP="0039076E">
            <w:pPr>
              <w:rPr>
                <w:sz w:val="20"/>
                <w:szCs w:val="20"/>
                <w:lang w:val="en-US"/>
              </w:rPr>
            </w:pPr>
            <w:r w:rsidRPr="00B66AB0">
              <w:rPr>
                <w:sz w:val="20"/>
                <w:szCs w:val="20"/>
                <w:lang w:val="en-US"/>
              </w:rPr>
              <w:t xml:space="preserve">Here in the ACT, we note shortages </w:t>
            </w:r>
            <w:proofErr w:type="gramStart"/>
            <w:r w:rsidRPr="00B66AB0">
              <w:rPr>
                <w:sz w:val="20"/>
                <w:szCs w:val="20"/>
                <w:lang w:val="en-US"/>
              </w:rPr>
              <w:t>on</w:t>
            </w:r>
            <w:proofErr w:type="gramEnd"/>
            <w:r w:rsidRPr="00B66AB0">
              <w:rPr>
                <w:sz w:val="20"/>
                <w:szCs w:val="20"/>
                <w:lang w:val="en-US"/>
              </w:rPr>
              <w:t xml:space="preserve"> </w:t>
            </w:r>
            <w:proofErr w:type="spellStart"/>
            <w:r w:rsidRPr="00B66AB0">
              <w:rPr>
                <w:sz w:val="20"/>
                <w:szCs w:val="20"/>
                <w:lang w:val="en-US"/>
              </w:rPr>
              <w:t>Auslan</w:t>
            </w:r>
            <w:proofErr w:type="spellEnd"/>
            <w:r w:rsidRPr="00B66AB0">
              <w:rPr>
                <w:sz w:val="20"/>
                <w:szCs w:val="20"/>
                <w:lang w:val="en-US"/>
              </w:rPr>
              <w:t xml:space="preserve"> interpreters </w:t>
            </w:r>
            <w:proofErr w:type="gramStart"/>
            <w:r w:rsidRPr="00B66AB0">
              <w:rPr>
                <w:sz w:val="20"/>
                <w:szCs w:val="20"/>
                <w:lang w:val="en-US"/>
              </w:rPr>
              <w:t>and also</w:t>
            </w:r>
            <w:proofErr w:type="gramEnd"/>
            <w:r w:rsidRPr="00B66AB0">
              <w:rPr>
                <w:sz w:val="20"/>
                <w:szCs w:val="20"/>
                <w:lang w:val="en-US"/>
              </w:rPr>
              <w:t xml:space="preserve"> in Deaf/Blind communication guides and support increased funding.  </w:t>
            </w:r>
          </w:p>
        </w:tc>
        <w:tc>
          <w:tcPr>
            <w:tcW w:w="9072" w:type="dxa"/>
          </w:tcPr>
          <w:p w14:paraId="34A13B4B" w14:textId="61262DE7" w:rsidR="00480EA7" w:rsidRPr="00F01DFA" w:rsidRDefault="00480EA7">
            <w:pPr>
              <w:rPr>
                <w:i/>
                <w:sz w:val="20"/>
                <w:szCs w:val="20"/>
                <w:lang w:val="en-US"/>
              </w:rPr>
            </w:pPr>
            <w:r w:rsidRPr="00F01DFA">
              <w:rPr>
                <w:i/>
                <w:sz w:val="20"/>
                <w:szCs w:val="20"/>
                <w:lang w:val="en-US"/>
              </w:rPr>
              <w:t>Commonwealth</w:t>
            </w:r>
          </w:p>
          <w:p w14:paraId="652499E3" w14:textId="0F9DCF63" w:rsidR="00480EA7" w:rsidRDefault="00480EA7">
            <w:pPr>
              <w:rPr>
                <w:sz w:val="20"/>
                <w:szCs w:val="20"/>
                <w:lang w:val="en-US"/>
              </w:rPr>
            </w:pPr>
            <w:r w:rsidRPr="00480EA7">
              <w:rPr>
                <w:sz w:val="20"/>
                <w:szCs w:val="20"/>
                <w:lang w:val="en-US"/>
              </w:rPr>
              <w:t xml:space="preserve">$12.3 million for a national approach to accessible information and communications </w:t>
            </w:r>
            <w:r w:rsidR="00854799">
              <w:rPr>
                <w:sz w:val="20"/>
                <w:szCs w:val="20"/>
                <w:lang w:val="en-US"/>
              </w:rPr>
              <w:t>under Australia’s Disability Strategy 2021-2031</w:t>
            </w:r>
            <w:r w:rsidR="00E87115">
              <w:rPr>
                <w:sz w:val="20"/>
                <w:szCs w:val="20"/>
                <w:lang w:val="en-US"/>
              </w:rPr>
              <w:t xml:space="preserve">. </w:t>
            </w:r>
            <w:r w:rsidR="002559A6">
              <w:rPr>
                <w:sz w:val="20"/>
                <w:szCs w:val="20"/>
                <w:lang w:val="en-US"/>
              </w:rPr>
              <w:t>This</w:t>
            </w:r>
            <w:r w:rsidR="004E1491">
              <w:rPr>
                <w:sz w:val="20"/>
                <w:szCs w:val="20"/>
                <w:lang w:val="en-US"/>
              </w:rPr>
              <w:t xml:space="preserve"> is to improve national approaches to accessible information and communications for people with </w:t>
            </w:r>
            <w:proofErr w:type="gramStart"/>
            <w:r w:rsidR="004E1491">
              <w:rPr>
                <w:sz w:val="20"/>
                <w:szCs w:val="20"/>
                <w:lang w:val="en-US"/>
              </w:rPr>
              <w:t>disability</w:t>
            </w:r>
            <w:proofErr w:type="gramEnd"/>
            <w:r w:rsidR="004E1491">
              <w:rPr>
                <w:sz w:val="20"/>
                <w:szCs w:val="20"/>
                <w:lang w:val="en-US"/>
              </w:rPr>
              <w:t xml:space="preserve"> and build capability across the APS for effective policy engagement, design and consultation. </w:t>
            </w:r>
          </w:p>
          <w:p w14:paraId="18FCF726" w14:textId="77777777" w:rsidR="00BB68BE" w:rsidRDefault="00BB68BE">
            <w:pPr>
              <w:rPr>
                <w:sz w:val="20"/>
                <w:szCs w:val="20"/>
                <w:lang w:val="en-US"/>
              </w:rPr>
            </w:pPr>
          </w:p>
          <w:p w14:paraId="58F356D7" w14:textId="0A575A23" w:rsidR="00BB68BE" w:rsidRDefault="00BB68BE">
            <w:pPr>
              <w:rPr>
                <w:sz w:val="20"/>
                <w:szCs w:val="20"/>
                <w:lang w:val="en-US"/>
              </w:rPr>
            </w:pPr>
            <w:r>
              <w:rPr>
                <w:sz w:val="20"/>
                <w:szCs w:val="20"/>
              </w:rPr>
              <w:t>Nothing we could see for Easy Read or Alternative Communications. Instead, mention of ‘accessible information and communication for people with disability with diverse or intersecting needs.’</w:t>
            </w:r>
          </w:p>
          <w:p w14:paraId="0A6493BB" w14:textId="77777777" w:rsidR="00480EA7" w:rsidRDefault="00480EA7">
            <w:pPr>
              <w:rPr>
                <w:sz w:val="20"/>
                <w:szCs w:val="20"/>
                <w:lang w:val="en-US"/>
              </w:rPr>
            </w:pPr>
          </w:p>
          <w:p w14:paraId="4BEDF113" w14:textId="5072057E" w:rsidR="00EF517C" w:rsidRPr="00155FDF" w:rsidRDefault="00CF3AFD">
            <w:pPr>
              <w:rPr>
                <w:i/>
                <w:sz w:val="20"/>
                <w:szCs w:val="20"/>
                <w:lang w:val="en-US"/>
              </w:rPr>
            </w:pPr>
            <w:r w:rsidRPr="00155FDF">
              <w:rPr>
                <w:i/>
                <w:sz w:val="20"/>
                <w:szCs w:val="20"/>
                <w:lang w:val="en-US"/>
              </w:rPr>
              <w:t>ACT</w:t>
            </w:r>
          </w:p>
          <w:p w14:paraId="0DB1A8B3" w14:textId="3AF46941" w:rsidR="009C48EC" w:rsidRDefault="00CF3AFD" w:rsidP="00CF3AFD">
            <w:pPr>
              <w:rPr>
                <w:sz w:val="20"/>
                <w:szCs w:val="20"/>
              </w:rPr>
            </w:pPr>
            <w:r w:rsidRPr="00CF3AFD">
              <w:rPr>
                <w:sz w:val="20"/>
                <w:szCs w:val="20"/>
              </w:rPr>
              <w:lastRenderedPageBreak/>
              <w:t xml:space="preserve">The ACT Government supports the development of a national plan to promote accessible information and communications, accepting Recommendation 6.1 in principle. This plan will be co-designed with people with disability and their representative organisations and will focus on improving accessibility across various sectors, including emergencies, public health, and the criminal justice system. Additionally, the Government accepts in principle Recommendation 6.2 to increase the number of </w:t>
            </w:r>
            <w:proofErr w:type="spellStart"/>
            <w:r w:rsidRPr="00CF3AFD">
              <w:rPr>
                <w:sz w:val="20"/>
                <w:szCs w:val="20"/>
              </w:rPr>
              <w:t>Auslan</w:t>
            </w:r>
            <w:proofErr w:type="spellEnd"/>
            <w:r w:rsidRPr="00CF3AFD">
              <w:rPr>
                <w:sz w:val="20"/>
                <w:szCs w:val="20"/>
              </w:rPr>
              <w:t xml:space="preserve"> interpreters through a strategy that includes costed initiatives such as scholarships and professional development, with a deadline for development by September 2024 and implementation starting in January 2025. The plan will ensure appropriate funding and resources for delivery, highlighting the Government's commitment to inclusivity and equal access to information for people with disability.</w:t>
            </w:r>
            <w:r w:rsidR="00422579">
              <w:rPr>
                <w:sz w:val="20"/>
                <w:szCs w:val="20"/>
              </w:rPr>
              <w:t xml:space="preserve"> </w:t>
            </w:r>
            <w:r w:rsidR="00685939">
              <w:rPr>
                <w:sz w:val="20"/>
                <w:szCs w:val="20"/>
              </w:rPr>
              <w:t>The Australian Government and state and territory governments, through</w:t>
            </w:r>
            <w:r w:rsidR="00DA1CEA">
              <w:rPr>
                <w:sz w:val="20"/>
                <w:szCs w:val="20"/>
              </w:rPr>
              <w:t xml:space="preserve"> the Disability Reform Ministerial Council, should commission the development of a workforce strategy to increase the number and quality of </w:t>
            </w:r>
            <w:proofErr w:type="spellStart"/>
            <w:r w:rsidR="00DA1CEA">
              <w:rPr>
                <w:sz w:val="20"/>
                <w:szCs w:val="20"/>
              </w:rPr>
              <w:t>Auslan</w:t>
            </w:r>
            <w:proofErr w:type="spellEnd"/>
            <w:r w:rsidR="00DA1CEA">
              <w:rPr>
                <w:sz w:val="20"/>
                <w:szCs w:val="20"/>
              </w:rPr>
              <w:t xml:space="preserve"> interpreters.</w:t>
            </w:r>
            <w:r w:rsidR="00422579">
              <w:rPr>
                <w:sz w:val="20"/>
                <w:szCs w:val="20"/>
              </w:rPr>
              <w:t xml:space="preserve"> </w:t>
            </w:r>
          </w:p>
          <w:p w14:paraId="0D772DBB" w14:textId="592EF9D4" w:rsidR="00480EA7" w:rsidRPr="007568D0" w:rsidRDefault="00480EA7">
            <w:pPr>
              <w:rPr>
                <w:sz w:val="20"/>
                <w:szCs w:val="20"/>
              </w:rPr>
            </w:pPr>
          </w:p>
        </w:tc>
        <w:tc>
          <w:tcPr>
            <w:tcW w:w="2410" w:type="dxa"/>
          </w:tcPr>
          <w:p w14:paraId="302222BF" w14:textId="293E932B" w:rsidR="00EF517C" w:rsidRPr="00B66AB0" w:rsidRDefault="00D4709A">
            <w:pPr>
              <w:rPr>
                <w:sz w:val="20"/>
                <w:szCs w:val="20"/>
                <w:lang w:val="en-US"/>
              </w:rPr>
            </w:pPr>
            <w:r w:rsidRPr="00934F10">
              <w:rPr>
                <w:color w:val="00B050"/>
                <w:sz w:val="96"/>
                <w:szCs w:val="96"/>
                <w:lang w:val="en-US"/>
              </w:rPr>
              <w:lastRenderedPageBreak/>
              <w:sym w:font="Wingdings" w:char="F0FE"/>
            </w:r>
          </w:p>
        </w:tc>
      </w:tr>
      <w:tr w:rsidR="007578A3" w:rsidRPr="00B66AB0" w14:paraId="45E4D58F" w14:textId="77777777" w:rsidTr="00973197">
        <w:tc>
          <w:tcPr>
            <w:tcW w:w="4957" w:type="dxa"/>
          </w:tcPr>
          <w:p w14:paraId="3A1E2772" w14:textId="77777777" w:rsidR="00EA2B7A" w:rsidRPr="00B66AB0" w:rsidRDefault="00EA2B7A" w:rsidP="00EA2B7A">
            <w:pPr>
              <w:rPr>
                <w:b/>
                <w:bCs/>
                <w:sz w:val="20"/>
                <w:szCs w:val="20"/>
                <w:lang w:val="en-US"/>
              </w:rPr>
            </w:pPr>
            <w:bookmarkStart w:id="6" w:name="Health"/>
            <w:r w:rsidRPr="00B66AB0">
              <w:rPr>
                <w:b/>
                <w:bCs/>
                <w:sz w:val="20"/>
                <w:szCs w:val="20"/>
                <w:lang w:val="en-US"/>
              </w:rPr>
              <w:t xml:space="preserve">Health </w:t>
            </w:r>
          </w:p>
          <w:bookmarkEnd w:id="6"/>
          <w:p w14:paraId="717F4A44" w14:textId="77777777" w:rsidR="00533211" w:rsidRPr="00533211" w:rsidRDefault="00533211" w:rsidP="00533211">
            <w:pPr>
              <w:rPr>
                <w:sz w:val="20"/>
                <w:szCs w:val="20"/>
                <w:lang w:val="en-US"/>
              </w:rPr>
            </w:pPr>
            <w:r w:rsidRPr="00533211">
              <w:rPr>
                <w:sz w:val="20"/>
                <w:szCs w:val="20"/>
                <w:lang w:val="en-US"/>
              </w:rPr>
              <w:t xml:space="preserve">The commission recommends work to expand the capacity of the health workforce to engage with people with cognitive disability as well as </w:t>
            </w:r>
            <w:proofErr w:type="spellStart"/>
            <w:r w:rsidRPr="00533211">
              <w:rPr>
                <w:sz w:val="20"/>
                <w:szCs w:val="20"/>
                <w:lang w:val="en-US"/>
              </w:rPr>
              <w:t>specialised</w:t>
            </w:r>
            <w:proofErr w:type="spellEnd"/>
            <w:r w:rsidRPr="00533211">
              <w:rPr>
                <w:sz w:val="20"/>
                <w:szCs w:val="20"/>
                <w:lang w:val="en-US"/>
              </w:rPr>
              <w:t xml:space="preserve"> health and mental health services for people with cognitive disability.</w:t>
            </w:r>
          </w:p>
          <w:p w14:paraId="4BF3A806" w14:textId="77777777" w:rsidR="00D21940" w:rsidRPr="00533211" w:rsidRDefault="00D21940" w:rsidP="00533211">
            <w:pPr>
              <w:rPr>
                <w:sz w:val="20"/>
                <w:szCs w:val="20"/>
                <w:lang w:val="en-US"/>
              </w:rPr>
            </w:pPr>
          </w:p>
          <w:p w14:paraId="3B5113E1" w14:textId="77777777" w:rsidR="00533211" w:rsidRPr="00533211" w:rsidRDefault="00533211" w:rsidP="00533211">
            <w:pPr>
              <w:rPr>
                <w:sz w:val="20"/>
                <w:szCs w:val="20"/>
                <w:lang w:val="en-US"/>
              </w:rPr>
            </w:pPr>
            <w:r w:rsidRPr="00533211">
              <w:rPr>
                <w:sz w:val="20"/>
                <w:szCs w:val="20"/>
                <w:lang w:val="en-US"/>
              </w:rPr>
              <w:t xml:space="preserve">They recommend that the right to equitable access be embedded in key policy instruments for health services.  </w:t>
            </w:r>
          </w:p>
          <w:p w14:paraId="58B7C468" w14:textId="77777777" w:rsidR="00D21940" w:rsidRPr="00533211" w:rsidRDefault="00D21940" w:rsidP="00533211">
            <w:pPr>
              <w:rPr>
                <w:sz w:val="20"/>
                <w:szCs w:val="20"/>
                <w:lang w:val="en-US"/>
              </w:rPr>
            </w:pPr>
          </w:p>
          <w:p w14:paraId="30747E46" w14:textId="77777777" w:rsidR="00533211" w:rsidRPr="00533211" w:rsidRDefault="00533211" w:rsidP="00533211">
            <w:pPr>
              <w:rPr>
                <w:sz w:val="20"/>
                <w:szCs w:val="20"/>
                <w:lang w:val="en-US"/>
              </w:rPr>
            </w:pPr>
            <w:r w:rsidRPr="00533211">
              <w:rPr>
                <w:sz w:val="20"/>
                <w:szCs w:val="20"/>
                <w:lang w:val="en-US"/>
              </w:rPr>
              <w:t>They also recommend that there should be a program of work to ensure that adaptions and supports are available within all publicly funded healthcare settings.</w:t>
            </w:r>
          </w:p>
          <w:p w14:paraId="1A07C279" w14:textId="001D0D9D" w:rsidR="00EF517C" w:rsidRPr="00B66AB0" w:rsidRDefault="00533211" w:rsidP="00533211">
            <w:pPr>
              <w:rPr>
                <w:b/>
                <w:bCs/>
                <w:sz w:val="20"/>
                <w:szCs w:val="20"/>
                <w:lang w:val="en-US"/>
              </w:rPr>
            </w:pPr>
            <w:r w:rsidRPr="00533211">
              <w:rPr>
                <w:sz w:val="20"/>
                <w:szCs w:val="20"/>
                <w:lang w:val="en-US"/>
              </w:rPr>
              <w:t>Also recommend healthcare navigators to support people with disabilities in care in healthcare settings.</w:t>
            </w:r>
          </w:p>
        </w:tc>
        <w:tc>
          <w:tcPr>
            <w:tcW w:w="5386" w:type="dxa"/>
          </w:tcPr>
          <w:p w14:paraId="1B636CC4" w14:textId="77777777" w:rsidR="00A03985" w:rsidRDefault="00A03985" w:rsidP="00EF517C">
            <w:pPr>
              <w:rPr>
                <w:sz w:val="20"/>
                <w:szCs w:val="20"/>
                <w:lang w:val="en-US"/>
              </w:rPr>
            </w:pPr>
          </w:p>
          <w:p w14:paraId="6D1C6F8F" w14:textId="13360B7D" w:rsidR="00EF517C" w:rsidRPr="00B66AB0" w:rsidRDefault="00EF517C" w:rsidP="00EF517C">
            <w:pPr>
              <w:rPr>
                <w:sz w:val="20"/>
                <w:szCs w:val="20"/>
                <w:lang w:val="en-US"/>
              </w:rPr>
            </w:pPr>
            <w:r w:rsidRPr="00B66AB0">
              <w:rPr>
                <w:sz w:val="20"/>
                <w:szCs w:val="20"/>
                <w:lang w:val="en-US"/>
              </w:rPr>
              <w:t xml:space="preserve">ACT </w:t>
            </w:r>
            <w:r w:rsidR="00F06EFE">
              <w:rPr>
                <w:sz w:val="20"/>
                <w:szCs w:val="20"/>
                <w:lang w:val="en-US"/>
              </w:rPr>
              <w:t>DPO’s/</w:t>
            </w:r>
            <w:proofErr w:type="spellStart"/>
            <w:r w:rsidR="00F06EFE">
              <w:rPr>
                <w:sz w:val="20"/>
                <w:szCs w:val="20"/>
                <w:lang w:val="en-US"/>
              </w:rPr>
              <w:t>DRO’s</w:t>
            </w:r>
            <w:proofErr w:type="spellEnd"/>
            <w:r w:rsidR="0038715C">
              <w:rPr>
                <w:sz w:val="20"/>
                <w:szCs w:val="20"/>
                <w:lang w:val="en-US"/>
              </w:rPr>
              <w:t xml:space="preserve"> </w:t>
            </w:r>
            <w:r w:rsidRPr="00B66AB0">
              <w:rPr>
                <w:sz w:val="20"/>
                <w:szCs w:val="20"/>
                <w:lang w:val="en-US"/>
              </w:rPr>
              <w:t xml:space="preserve">signal our support for dedicated and purposeful national work in these areas including a National Disability Health Strategy and funding within Health Agreements.   </w:t>
            </w:r>
          </w:p>
          <w:p w14:paraId="79840041" w14:textId="77777777" w:rsidR="00942E06" w:rsidRPr="00B66AB0" w:rsidRDefault="00942E06" w:rsidP="00EF517C">
            <w:pPr>
              <w:rPr>
                <w:sz w:val="20"/>
                <w:szCs w:val="20"/>
                <w:lang w:val="en-US"/>
              </w:rPr>
            </w:pPr>
          </w:p>
          <w:p w14:paraId="7979B27A" w14:textId="6F0496B0" w:rsidR="00EF517C" w:rsidRPr="00B66AB0" w:rsidRDefault="00EF517C" w:rsidP="00EF517C">
            <w:pPr>
              <w:rPr>
                <w:sz w:val="20"/>
                <w:szCs w:val="20"/>
                <w:lang w:val="en-US"/>
              </w:rPr>
            </w:pPr>
            <w:r w:rsidRPr="00B66AB0">
              <w:rPr>
                <w:sz w:val="20"/>
                <w:szCs w:val="20"/>
                <w:lang w:val="en-US"/>
              </w:rPr>
              <w:t xml:space="preserve">Here in the ACT, we support a focus on expanded capacity in the health workforce and a right to equitable access with </w:t>
            </w:r>
            <w:r w:rsidR="00564A68" w:rsidRPr="00B66AB0">
              <w:rPr>
                <w:sz w:val="20"/>
                <w:szCs w:val="20"/>
                <w:lang w:val="en-US"/>
              </w:rPr>
              <w:t>adaptations</w:t>
            </w:r>
            <w:r w:rsidRPr="00B66AB0">
              <w:rPr>
                <w:sz w:val="20"/>
                <w:szCs w:val="20"/>
                <w:lang w:val="en-US"/>
              </w:rPr>
              <w:t xml:space="preserve"> and supports.  We also support disability healthcare navigators.  These and the other priorities in Imagining Better should form the basis of a robust health strategy.  </w:t>
            </w:r>
          </w:p>
        </w:tc>
        <w:tc>
          <w:tcPr>
            <w:tcW w:w="9072" w:type="dxa"/>
          </w:tcPr>
          <w:p w14:paraId="5BD35831" w14:textId="1918430C" w:rsidR="00C512D3" w:rsidRPr="009F2827" w:rsidRDefault="00C512D3">
            <w:pPr>
              <w:rPr>
                <w:i/>
                <w:sz w:val="20"/>
                <w:szCs w:val="20"/>
                <w:lang w:val="en-US"/>
              </w:rPr>
            </w:pPr>
            <w:r w:rsidRPr="009F2827">
              <w:rPr>
                <w:i/>
                <w:sz w:val="20"/>
                <w:szCs w:val="20"/>
                <w:lang w:val="en-US"/>
              </w:rPr>
              <w:t>Commonwealth</w:t>
            </w:r>
          </w:p>
          <w:p w14:paraId="51A319B5" w14:textId="28878E0B" w:rsidR="000B7098" w:rsidRDefault="000B7098">
            <w:pPr>
              <w:rPr>
                <w:sz w:val="20"/>
                <w:szCs w:val="20"/>
                <w:lang w:val="en-US"/>
              </w:rPr>
            </w:pPr>
            <w:r>
              <w:rPr>
                <w:sz w:val="20"/>
                <w:szCs w:val="20"/>
                <w:lang w:val="en-US"/>
              </w:rPr>
              <w:t xml:space="preserve">There </w:t>
            </w:r>
            <w:r w:rsidR="00811F5F">
              <w:rPr>
                <w:sz w:val="20"/>
                <w:szCs w:val="20"/>
                <w:lang w:val="en-US"/>
              </w:rPr>
              <w:t>is very little detail on health</w:t>
            </w:r>
            <w:r w:rsidR="009F2827">
              <w:rPr>
                <w:sz w:val="20"/>
                <w:szCs w:val="20"/>
                <w:lang w:val="en-US"/>
              </w:rPr>
              <w:t>,</w:t>
            </w:r>
            <w:r w:rsidR="00811F5F">
              <w:rPr>
                <w:sz w:val="20"/>
                <w:szCs w:val="20"/>
                <w:lang w:val="en-US"/>
              </w:rPr>
              <w:t xml:space="preserve"> and we cannot locate work on </w:t>
            </w:r>
            <w:r w:rsidR="00A221A9">
              <w:rPr>
                <w:sz w:val="20"/>
                <w:szCs w:val="20"/>
                <w:lang w:val="en-US"/>
              </w:rPr>
              <w:t xml:space="preserve">specialized health services or a </w:t>
            </w:r>
            <w:r w:rsidR="009D39FC">
              <w:rPr>
                <w:sz w:val="20"/>
                <w:szCs w:val="20"/>
                <w:lang w:val="en-US"/>
              </w:rPr>
              <w:t>National Disability Health Strategy</w:t>
            </w:r>
            <w:r w:rsidR="005C2D68">
              <w:rPr>
                <w:sz w:val="20"/>
                <w:szCs w:val="20"/>
                <w:lang w:val="en-US"/>
              </w:rPr>
              <w:t>. The responses regarding health are limited to people with cognitive disability, reflecting the commission’s focus, and largely includes initiatives that have already been funded.</w:t>
            </w:r>
          </w:p>
          <w:p w14:paraId="53F60921" w14:textId="77777777" w:rsidR="00A221A9" w:rsidRDefault="00A221A9">
            <w:pPr>
              <w:rPr>
                <w:sz w:val="20"/>
                <w:szCs w:val="20"/>
                <w:lang w:val="en-US"/>
              </w:rPr>
            </w:pPr>
          </w:p>
          <w:p w14:paraId="7CD5F259" w14:textId="517A9282" w:rsidR="003F6A8F" w:rsidRPr="00224AD0" w:rsidRDefault="009D39FC" w:rsidP="0075191A">
            <w:pPr>
              <w:rPr>
                <w:sz w:val="20"/>
                <w:szCs w:val="20"/>
                <w:lang w:val="en-US"/>
              </w:rPr>
            </w:pPr>
            <w:r>
              <w:rPr>
                <w:sz w:val="20"/>
                <w:szCs w:val="20"/>
                <w:lang w:val="en-US"/>
              </w:rPr>
              <w:t xml:space="preserve">There is mention of </w:t>
            </w:r>
            <w:r w:rsidR="0075191A" w:rsidRPr="0075191A">
              <w:rPr>
                <w:sz w:val="20"/>
                <w:szCs w:val="20"/>
                <w:lang w:val="en-US"/>
              </w:rPr>
              <w:t>$3.7 million to continue the Primary Care Enhancement Program for</w:t>
            </w:r>
            <w:r>
              <w:rPr>
                <w:sz w:val="20"/>
                <w:szCs w:val="20"/>
                <w:lang w:val="en-US"/>
              </w:rPr>
              <w:t xml:space="preserve"> </w:t>
            </w:r>
            <w:r w:rsidR="0075191A" w:rsidRPr="0075191A">
              <w:rPr>
                <w:sz w:val="20"/>
                <w:szCs w:val="20"/>
                <w:lang w:val="en-US"/>
              </w:rPr>
              <w:t>People with Intellectual Disability to support access to health services for people with intellectual disability.</w:t>
            </w:r>
            <w:r w:rsidR="00951CD1">
              <w:rPr>
                <w:sz w:val="20"/>
                <w:szCs w:val="20"/>
                <w:lang w:val="en-US"/>
              </w:rPr>
              <w:t xml:space="preserve"> The government </w:t>
            </w:r>
            <w:r w:rsidR="00B435AD">
              <w:rPr>
                <w:sz w:val="20"/>
                <w:szCs w:val="20"/>
                <w:lang w:val="en-US"/>
              </w:rPr>
              <w:t xml:space="preserve">noted </w:t>
            </w:r>
            <w:r w:rsidR="00B435AD" w:rsidRPr="00903012">
              <w:rPr>
                <w:b/>
                <w:sz w:val="20"/>
                <w:szCs w:val="20"/>
                <w:lang w:val="en-US"/>
              </w:rPr>
              <w:t>Recommendation 6.30 Expand the scope of the National Centre of Excellence in Intellectual Disability Health</w:t>
            </w:r>
            <w:r w:rsidR="00224AD0">
              <w:rPr>
                <w:b/>
                <w:bCs/>
                <w:i/>
                <w:iCs/>
                <w:sz w:val="20"/>
                <w:szCs w:val="20"/>
                <w:lang w:val="en-US"/>
              </w:rPr>
              <w:t xml:space="preserve"> </w:t>
            </w:r>
            <w:r w:rsidR="00224AD0">
              <w:rPr>
                <w:sz w:val="20"/>
                <w:szCs w:val="20"/>
                <w:lang w:val="en-US"/>
              </w:rPr>
              <w:t xml:space="preserve">claiming it was an </w:t>
            </w:r>
            <w:r w:rsidR="005C6B22">
              <w:rPr>
                <w:sz w:val="20"/>
                <w:szCs w:val="20"/>
                <w:lang w:val="en-US"/>
              </w:rPr>
              <w:t>appropriate mechanism</w:t>
            </w:r>
            <w:r w:rsidR="00490EC6">
              <w:rPr>
                <w:sz w:val="20"/>
                <w:szCs w:val="20"/>
                <w:lang w:val="en-US"/>
              </w:rPr>
              <w:t xml:space="preserve"> and would ‘dilute the focus</w:t>
            </w:r>
            <w:r w:rsidR="0082416E">
              <w:rPr>
                <w:sz w:val="20"/>
                <w:szCs w:val="20"/>
                <w:lang w:val="en-US"/>
              </w:rPr>
              <w:t xml:space="preserve"> of the Centre on the </w:t>
            </w:r>
            <w:r w:rsidR="003F6A8F">
              <w:rPr>
                <w:sz w:val="20"/>
                <w:szCs w:val="20"/>
                <w:lang w:val="en-US"/>
              </w:rPr>
              <w:t>specific needs of people with intellectual disability.’</w:t>
            </w:r>
          </w:p>
          <w:p w14:paraId="74E42EBD" w14:textId="77777777" w:rsidR="0075191A" w:rsidRDefault="0075191A" w:rsidP="0075191A">
            <w:pPr>
              <w:rPr>
                <w:sz w:val="20"/>
                <w:szCs w:val="20"/>
                <w:lang w:val="en-US"/>
              </w:rPr>
            </w:pPr>
          </w:p>
          <w:p w14:paraId="29AEC124" w14:textId="09C82486" w:rsidR="00A01AD2" w:rsidRDefault="00A01AD2" w:rsidP="0075191A">
            <w:pPr>
              <w:rPr>
                <w:sz w:val="20"/>
                <w:szCs w:val="20"/>
                <w:lang w:val="en-US"/>
              </w:rPr>
            </w:pPr>
            <w:r>
              <w:rPr>
                <w:sz w:val="20"/>
                <w:szCs w:val="20"/>
                <w:lang w:val="en-US"/>
              </w:rPr>
              <w:t>The government accepted t</w:t>
            </w:r>
            <w:r w:rsidR="00980949">
              <w:rPr>
                <w:sz w:val="20"/>
                <w:szCs w:val="20"/>
                <w:lang w:val="en-US"/>
              </w:rPr>
              <w:t xml:space="preserve">hat the Australian Commission on Safety and Quality in Health Care should </w:t>
            </w:r>
            <w:r w:rsidR="00A6585A">
              <w:rPr>
                <w:sz w:val="20"/>
                <w:szCs w:val="20"/>
                <w:lang w:val="en-US"/>
              </w:rPr>
              <w:t>amend the Australian Charter o</w:t>
            </w:r>
            <w:r w:rsidR="006C74FF">
              <w:rPr>
                <w:sz w:val="20"/>
                <w:szCs w:val="20"/>
                <w:lang w:val="en-US"/>
              </w:rPr>
              <w:t>f Healthcare Rights to inco</w:t>
            </w:r>
            <w:r w:rsidR="00FE6C25">
              <w:rPr>
                <w:sz w:val="20"/>
                <w:szCs w:val="20"/>
                <w:lang w:val="en-US"/>
              </w:rPr>
              <w:t xml:space="preserve">rporate </w:t>
            </w:r>
            <w:r w:rsidR="00B01B07">
              <w:rPr>
                <w:sz w:val="20"/>
                <w:szCs w:val="20"/>
                <w:lang w:val="en-US"/>
              </w:rPr>
              <w:t xml:space="preserve">the right to equitable access to health services for people with disability </w:t>
            </w:r>
            <w:r w:rsidR="00666B7A">
              <w:rPr>
                <w:sz w:val="20"/>
                <w:szCs w:val="20"/>
                <w:lang w:val="en-US"/>
              </w:rPr>
              <w:t xml:space="preserve">and align with the scope of this proposed right in the Disability Rights Act recommended in Volume 4. </w:t>
            </w:r>
            <w:r w:rsidR="004352FC">
              <w:rPr>
                <w:sz w:val="20"/>
                <w:szCs w:val="20"/>
                <w:lang w:val="en-US"/>
              </w:rPr>
              <w:t xml:space="preserve">The </w:t>
            </w:r>
            <w:r w:rsidR="005C1999">
              <w:rPr>
                <w:sz w:val="20"/>
                <w:szCs w:val="20"/>
                <w:lang w:val="en-US"/>
              </w:rPr>
              <w:t xml:space="preserve">government, through Commission </w:t>
            </w:r>
            <w:r w:rsidR="0087283E">
              <w:rPr>
                <w:sz w:val="20"/>
                <w:szCs w:val="20"/>
                <w:lang w:val="en-US"/>
              </w:rPr>
              <w:t xml:space="preserve">on Safety and Quality in Health Care will </w:t>
            </w:r>
            <w:r w:rsidR="00BE1AF8">
              <w:rPr>
                <w:sz w:val="20"/>
                <w:szCs w:val="20"/>
                <w:lang w:val="en-US"/>
              </w:rPr>
              <w:t xml:space="preserve">‘develop a plan’ to update key policy instruments to ensure they </w:t>
            </w:r>
            <w:proofErr w:type="gramStart"/>
            <w:r w:rsidR="00BE1AF8">
              <w:rPr>
                <w:sz w:val="20"/>
                <w:szCs w:val="20"/>
                <w:lang w:val="en-US"/>
              </w:rPr>
              <w:t xml:space="preserve">articulate </w:t>
            </w:r>
            <w:r w:rsidR="00EF3391">
              <w:rPr>
                <w:sz w:val="20"/>
                <w:szCs w:val="20"/>
                <w:lang w:val="en-US"/>
              </w:rPr>
              <w:t>for</w:t>
            </w:r>
            <w:proofErr w:type="gramEnd"/>
            <w:r w:rsidR="00EF3391">
              <w:rPr>
                <w:sz w:val="20"/>
                <w:szCs w:val="20"/>
                <w:lang w:val="en-US"/>
              </w:rPr>
              <w:t xml:space="preserve"> safe and equitable access to health services </w:t>
            </w:r>
            <w:r w:rsidR="00D46BC0">
              <w:rPr>
                <w:sz w:val="20"/>
                <w:szCs w:val="20"/>
                <w:lang w:val="en-US"/>
              </w:rPr>
              <w:t xml:space="preserve">for people with disability. </w:t>
            </w:r>
          </w:p>
          <w:p w14:paraId="5F82F3BC" w14:textId="77777777" w:rsidR="00BA6D51" w:rsidRDefault="00BA6D51" w:rsidP="0075191A">
            <w:pPr>
              <w:rPr>
                <w:sz w:val="20"/>
                <w:szCs w:val="20"/>
                <w:lang w:val="en-US"/>
              </w:rPr>
            </w:pPr>
          </w:p>
          <w:p w14:paraId="0A81ED75" w14:textId="2E5B5125" w:rsidR="00BA6D51" w:rsidRPr="00A678A6" w:rsidRDefault="00BA6D51" w:rsidP="0075191A">
            <w:pPr>
              <w:rPr>
                <w:sz w:val="20"/>
                <w:szCs w:val="20"/>
                <w:lang w:val="en-US"/>
              </w:rPr>
            </w:pPr>
            <w:r>
              <w:rPr>
                <w:sz w:val="20"/>
                <w:szCs w:val="20"/>
                <w:lang w:val="en-US"/>
              </w:rPr>
              <w:t>The government has also accepted (in principle)</w:t>
            </w:r>
            <w:r w:rsidR="00B21BD4">
              <w:rPr>
                <w:sz w:val="20"/>
                <w:szCs w:val="20"/>
                <w:lang w:val="en-US"/>
              </w:rPr>
              <w:t xml:space="preserve"> </w:t>
            </w:r>
            <w:r w:rsidR="00B21BD4" w:rsidRPr="00F579D4">
              <w:rPr>
                <w:b/>
                <w:sz w:val="20"/>
                <w:szCs w:val="20"/>
                <w:lang w:val="en-US"/>
              </w:rPr>
              <w:t>Recommendation 6.34 Introduce disability health navigators to support navigation of health care for people with disability</w:t>
            </w:r>
            <w:r w:rsidR="00E3205D" w:rsidRPr="00F579D4">
              <w:rPr>
                <w:b/>
                <w:sz w:val="20"/>
                <w:szCs w:val="20"/>
                <w:lang w:val="en-US"/>
              </w:rPr>
              <w:t>.</w:t>
            </w:r>
            <w:r w:rsidR="00E3205D">
              <w:rPr>
                <w:b/>
                <w:bCs/>
                <w:i/>
                <w:iCs/>
                <w:sz w:val="20"/>
                <w:szCs w:val="20"/>
                <w:lang w:val="en-US"/>
              </w:rPr>
              <w:t xml:space="preserve"> </w:t>
            </w:r>
            <w:r w:rsidR="00A678A6">
              <w:rPr>
                <w:sz w:val="20"/>
                <w:szCs w:val="20"/>
                <w:lang w:val="en-US"/>
              </w:rPr>
              <w:t xml:space="preserve">They noted that significant ‘scoping’ work needs to be conducted before navigators can be </w:t>
            </w:r>
            <w:r w:rsidR="008523A7">
              <w:rPr>
                <w:sz w:val="20"/>
                <w:szCs w:val="20"/>
                <w:lang w:val="en-US"/>
              </w:rPr>
              <w:t>introduced.</w:t>
            </w:r>
          </w:p>
          <w:p w14:paraId="79AE3D98" w14:textId="77777777" w:rsidR="00C9260A" w:rsidRDefault="00C9260A" w:rsidP="0075191A">
            <w:pPr>
              <w:rPr>
                <w:sz w:val="20"/>
                <w:szCs w:val="20"/>
                <w:lang w:val="en-US"/>
              </w:rPr>
            </w:pPr>
          </w:p>
          <w:p w14:paraId="17863527" w14:textId="3CB5196F" w:rsidR="00EF517C" w:rsidRDefault="00EF517C">
            <w:pPr>
              <w:rPr>
                <w:sz w:val="20"/>
                <w:szCs w:val="20"/>
                <w:lang w:val="en-US"/>
              </w:rPr>
            </w:pPr>
          </w:p>
          <w:p w14:paraId="719C1F71" w14:textId="77777777" w:rsidR="0093721F" w:rsidRDefault="0093721F">
            <w:pPr>
              <w:rPr>
                <w:sz w:val="20"/>
                <w:szCs w:val="20"/>
                <w:lang w:val="en-US"/>
              </w:rPr>
            </w:pPr>
            <w:r>
              <w:rPr>
                <w:i/>
                <w:iCs/>
                <w:sz w:val="20"/>
                <w:szCs w:val="20"/>
                <w:lang w:val="en-US"/>
              </w:rPr>
              <w:t>ACT</w:t>
            </w:r>
          </w:p>
          <w:p w14:paraId="28DDE84E" w14:textId="2DF5B0C6" w:rsidR="001626FF" w:rsidRDefault="003062CC">
            <w:pPr>
              <w:rPr>
                <w:sz w:val="20"/>
                <w:szCs w:val="20"/>
              </w:rPr>
            </w:pPr>
            <w:r w:rsidRPr="003062CC">
              <w:rPr>
                <w:sz w:val="20"/>
                <w:szCs w:val="20"/>
              </w:rPr>
              <w:t>The Canberra Health Services Disability Access and Inclusion Plan (DAIP) aligns with the intent of this recommendation and seeks to improve the experience and outcomes of people with disability, their families and carers when accessing care (see Focus Area 1 of the Plan, relating to Canberra Health Services). Priority 2 is that Canberra Health Services team members are skilled, knowledgeable, and confident in supporting people with disability, their families and carers.</w:t>
            </w:r>
          </w:p>
          <w:p w14:paraId="57ABE1B0" w14:textId="77777777" w:rsidR="00F579D4" w:rsidRDefault="00F579D4">
            <w:pPr>
              <w:rPr>
                <w:sz w:val="20"/>
                <w:szCs w:val="20"/>
              </w:rPr>
            </w:pPr>
          </w:p>
          <w:p w14:paraId="5D86C63B" w14:textId="69991320" w:rsidR="003062CC" w:rsidRDefault="00125A7D">
            <w:pPr>
              <w:rPr>
                <w:sz w:val="20"/>
                <w:szCs w:val="20"/>
              </w:rPr>
            </w:pPr>
            <w:r w:rsidRPr="00125A7D">
              <w:rPr>
                <w:sz w:val="20"/>
                <w:szCs w:val="20"/>
              </w:rPr>
              <w:t>The ACT Disability Health Strategy 2024-2033 seeks to ensure that healthcare services are accessible to people with disability, with barrier-free and inclusive physical spaces, reasonable adjustments, and affordability of services and supports. Canberra Health Services will incorporate this requirement into relevant policy and guidance documents, noting there are some health settings where it is not safe for a person to be accompanied by a support person</w:t>
            </w:r>
          </w:p>
          <w:p w14:paraId="3BA8A5CD" w14:textId="77777777" w:rsidR="00903012" w:rsidRDefault="00903012">
            <w:pPr>
              <w:rPr>
                <w:sz w:val="20"/>
                <w:szCs w:val="20"/>
              </w:rPr>
            </w:pPr>
          </w:p>
          <w:p w14:paraId="1810C3AB" w14:textId="2B22218A" w:rsidR="00EF517C" w:rsidRDefault="00D87D20">
            <w:pPr>
              <w:rPr>
                <w:sz w:val="20"/>
                <w:szCs w:val="20"/>
              </w:rPr>
            </w:pPr>
            <w:r w:rsidRPr="00D87D20">
              <w:rPr>
                <w:sz w:val="20"/>
                <w:szCs w:val="20"/>
              </w:rPr>
              <w:t>Comments: Canberra Health Services currently provides the Mental Health Service for People with Intellectual Disability. The ACT Disability Health Strategy 2024-2033 Improving Mental Health and Wellbeing Outcomes for People with Intellectual Disability Position Statement will also help inform future planning and investment in the health system to support the mental health and wellbeing of people with intellectual disabilities. The Position Statement outlines priority areas for best practice in improving the mental health and wellbeing of people with intellectual disabilities</w:t>
            </w:r>
          </w:p>
          <w:p w14:paraId="6BC3F2C4" w14:textId="77777777" w:rsidR="007E574F" w:rsidRDefault="007E574F">
            <w:pPr>
              <w:rPr>
                <w:sz w:val="20"/>
                <w:szCs w:val="20"/>
                <w:lang w:val="en-US"/>
              </w:rPr>
            </w:pPr>
          </w:p>
          <w:p w14:paraId="6D47F05A" w14:textId="77777777" w:rsidR="00A33AE6" w:rsidRDefault="00A126CF">
            <w:pPr>
              <w:rPr>
                <w:sz w:val="20"/>
                <w:szCs w:val="20"/>
                <w:lang w:val="en-US"/>
              </w:rPr>
            </w:pPr>
            <w:r>
              <w:rPr>
                <w:sz w:val="20"/>
                <w:szCs w:val="20"/>
                <w:lang w:val="en-US"/>
              </w:rPr>
              <w:lastRenderedPageBreak/>
              <w:t xml:space="preserve">Under the </w:t>
            </w:r>
            <w:r>
              <w:rPr>
                <w:i/>
                <w:iCs/>
                <w:sz w:val="20"/>
                <w:szCs w:val="20"/>
                <w:lang w:val="en-US"/>
              </w:rPr>
              <w:t xml:space="preserve">First Action Plan 2024-26 of the ACT Disability Health Strategy 2024-2033 </w:t>
            </w:r>
            <w:r w:rsidR="009A1248">
              <w:rPr>
                <w:sz w:val="20"/>
                <w:szCs w:val="20"/>
                <w:lang w:val="en-US"/>
              </w:rPr>
              <w:t>t</w:t>
            </w:r>
            <w:r w:rsidR="00F614AA">
              <w:rPr>
                <w:sz w:val="20"/>
                <w:szCs w:val="20"/>
                <w:lang w:val="en-US"/>
              </w:rPr>
              <w:t xml:space="preserve">he ACT </w:t>
            </w:r>
            <w:r w:rsidR="004152C5">
              <w:rPr>
                <w:sz w:val="20"/>
                <w:szCs w:val="20"/>
                <w:lang w:val="en-US"/>
              </w:rPr>
              <w:t>Government has also committed to scope, model and pilot a disability hea</w:t>
            </w:r>
            <w:r w:rsidR="00627F57">
              <w:rPr>
                <w:sz w:val="20"/>
                <w:szCs w:val="20"/>
                <w:lang w:val="en-US"/>
              </w:rPr>
              <w:t xml:space="preserve">lth case management and referral service for people with disability and their families. </w:t>
            </w:r>
          </w:p>
          <w:p w14:paraId="4CC0EBDB" w14:textId="3EC1ABFF" w:rsidR="00A33AE6" w:rsidRPr="001626FF" w:rsidRDefault="00A33AE6">
            <w:pPr>
              <w:rPr>
                <w:sz w:val="20"/>
                <w:szCs w:val="20"/>
                <w:lang w:val="en-US"/>
              </w:rPr>
            </w:pPr>
          </w:p>
        </w:tc>
        <w:tc>
          <w:tcPr>
            <w:tcW w:w="2410" w:type="dxa"/>
          </w:tcPr>
          <w:p w14:paraId="5C77301F" w14:textId="6A33C2FC" w:rsidR="00D46BC0" w:rsidRDefault="00D4709A">
            <w:pPr>
              <w:rPr>
                <w:rFonts w:ascii="Wingdings" w:eastAsia="Wingdings" w:hAnsi="Wingdings" w:cs="Wingdings"/>
                <w:sz w:val="20"/>
                <w:szCs w:val="20"/>
                <w:lang w:val="en-US"/>
              </w:rPr>
            </w:pPr>
            <w:r w:rsidRPr="00D30816">
              <w:rPr>
                <w:color w:val="FF0000"/>
                <w:sz w:val="96"/>
                <w:szCs w:val="96"/>
                <w:lang w:val="en-US"/>
              </w:rPr>
              <w:lastRenderedPageBreak/>
              <w:sym w:font="Wingdings" w:char="F078"/>
            </w:r>
          </w:p>
          <w:p w14:paraId="74F95FB2" w14:textId="77777777" w:rsidR="00D46BC0" w:rsidRDefault="00D46BC0">
            <w:pPr>
              <w:rPr>
                <w:rFonts w:ascii="Wingdings" w:eastAsia="Wingdings" w:hAnsi="Wingdings" w:cs="Wingdings"/>
                <w:sz w:val="20"/>
                <w:szCs w:val="20"/>
                <w:lang w:val="en-US"/>
              </w:rPr>
            </w:pPr>
          </w:p>
          <w:p w14:paraId="2EA3F9B1" w14:textId="77777777" w:rsidR="00D46BC0" w:rsidRDefault="00D46BC0">
            <w:pPr>
              <w:rPr>
                <w:rFonts w:ascii="Wingdings" w:eastAsia="Wingdings" w:hAnsi="Wingdings" w:cs="Wingdings"/>
                <w:sz w:val="20"/>
                <w:szCs w:val="20"/>
                <w:lang w:val="en-US"/>
              </w:rPr>
            </w:pPr>
          </w:p>
          <w:p w14:paraId="43818B47" w14:textId="77777777" w:rsidR="00D46BC0" w:rsidRDefault="00D46BC0">
            <w:pPr>
              <w:rPr>
                <w:rFonts w:ascii="Wingdings" w:eastAsia="Wingdings" w:hAnsi="Wingdings" w:cs="Wingdings"/>
                <w:sz w:val="20"/>
                <w:szCs w:val="20"/>
                <w:lang w:val="en-US"/>
              </w:rPr>
            </w:pPr>
          </w:p>
          <w:p w14:paraId="0ACEC5F9" w14:textId="77777777" w:rsidR="00D46BC0" w:rsidRDefault="00D46BC0">
            <w:pPr>
              <w:rPr>
                <w:sz w:val="20"/>
                <w:szCs w:val="20"/>
                <w:lang w:val="en-US"/>
              </w:rPr>
            </w:pPr>
          </w:p>
          <w:p w14:paraId="09F02B78" w14:textId="77777777" w:rsidR="00D46BC0" w:rsidRDefault="00D46BC0">
            <w:pPr>
              <w:rPr>
                <w:sz w:val="20"/>
                <w:szCs w:val="20"/>
                <w:lang w:val="en-US"/>
              </w:rPr>
            </w:pPr>
          </w:p>
          <w:p w14:paraId="389656A6" w14:textId="77777777" w:rsidR="00D46BC0" w:rsidRDefault="00D46BC0">
            <w:pPr>
              <w:rPr>
                <w:sz w:val="20"/>
                <w:szCs w:val="20"/>
                <w:lang w:val="en-US"/>
              </w:rPr>
            </w:pPr>
          </w:p>
          <w:p w14:paraId="23BCF9B7" w14:textId="77777777" w:rsidR="00D46BC0" w:rsidRDefault="00D46BC0">
            <w:pPr>
              <w:rPr>
                <w:sz w:val="20"/>
                <w:szCs w:val="20"/>
                <w:lang w:val="en-US"/>
              </w:rPr>
            </w:pPr>
          </w:p>
          <w:p w14:paraId="49D232CF" w14:textId="77777777" w:rsidR="00D46BC0" w:rsidRDefault="00D46BC0">
            <w:pPr>
              <w:rPr>
                <w:sz w:val="20"/>
                <w:szCs w:val="20"/>
                <w:lang w:val="en-US"/>
              </w:rPr>
            </w:pPr>
          </w:p>
          <w:p w14:paraId="66748497" w14:textId="77777777" w:rsidR="00D46BC0" w:rsidRDefault="00D46BC0">
            <w:pPr>
              <w:rPr>
                <w:sz w:val="20"/>
                <w:szCs w:val="20"/>
                <w:lang w:val="en-US"/>
              </w:rPr>
            </w:pPr>
          </w:p>
          <w:p w14:paraId="2024FC03" w14:textId="5EB525B5" w:rsidR="00EF517C" w:rsidRPr="00B66AB0" w:rsidRDefault="006D29A0">
            <w:pPr>
              <w:rPr>
                <w:sz w:val="20"/>
                <w:szCs w:val="20"/>
                <w:lang w:val="en-US"/>
              </w:rPr>
            </w:pPr>
            <w:r>
              <w:rPr>
                <w:sz w:val="20"/>
                <w:szCs w:val="20"/>
                <w:lang w:val="en-US"/>
              </w:rPr>
              <w:t xml:space="preserve">Quite vague </w:t>
            </w:r>
            <w:r w:rsidR="00243DA5">
              <w:rPr>
                <w:sz w:val="20"/>
                <w:szCs w:val="20"/>
                <w:lang w:val="en-US"/>
              </w:rPr>
              <w:t xml:space="preserve">and non-committal </w:t>
            </w:r>
            <w:r>
              <w:rPr>
                <w:sz w:val="20"/>
                <w:szCs w:val="20"/>
                <w:lang w:val="en-US"/>
              </w:rPr>
              <w:t>language: ‘develop a plan’</w:t>
            </w:r>
          </w:p>
        </w:tc>
      </w:tr>
      <w:tr w:rsidR="007578A3" w:rsidRPr="00B66AB0" w14:paraId="0A980E85" w14:textId="77777777" w:rsidTr="00973197">
        <w:tc>
          <w:tcPr>
            <w:tcW w:w="4957" w:type="dxa"/>
          </w:tcPr>
          <w:p w14:paraId="6C23BA1B" w14:textId="77777777" w:rsidR="008D60B3" w:rsidRPr="00B66AB0" w:rsidRDefault="008D60B3" w:rsidP="008D60B3">
            <w:pPr>
              <w:rPr>
                <w:b/>
                <w:bCs/>
                <w:sz w:val="20"/>
                <w:szCs w:val="20"/>
                <w:lang w:val="en-US"/>
              </w:rPr>
            </w:pPr>
            <w:bookmarkStart w:id="7" w:name="RP"/>
            <w:r w:rsidRPr="00B66AB0">
              <w:rPr>
                <w:b/>
                <w:bCs/>
                <w:sz w:val="20"/>
                <w:szCs w:val="20"/>
                <w:lang w:val="en-US"/>
              </w:rPr>
              <w:t xml:space="preserve">Restrictive Practices </w:t>
            </w:r>
          </w:p>
          <w:bookmarkEnd w:id="7"/>
          <w:p w14:paraId="2D125843" w14:textId="77777777" w:rsidR="002A27CA" w:rsidRPr="002A27CA" w:rsidRDefault="002A27CA" w:rsidP="002A27CA">
            <w:pPr>
              <w:rPr>
                <w:sz w:val="20"/>
                <w:szCs w:val="20"/>
                <w:lang w:val="en-US"/>
              </w:rPr>
            </w:pPr>
            <w:r w:rsidRPr="002A27CA">
              <w:rPr>
                <w:sz w:val="20"/>
                <w:szCs w:val="20"/>
                <w:lang w:val="en-US"/>
              </w:rPr>
              <w:t xml:space="preserve">The Commission recommends stronger legal frameworks for the </w:t>
            </w:r>
            <w:proofErr w:type="spellStart"/>
            <w:r w:rsidRPr="002A27CA">
              <w:rPr>
                <w:sz w:val="20"/>
                <w:szCs w:val="20"/>
                <w:lang w:val="en-US"/>
              </w:rPr>
              <w:t>authorisation</w:t>
            </w:r>
            <w:proofErr w:type="spellEnd"/>
            <w:r w:rsidRPr="002A27CA">
              <w:rPr>
                <w:sz w:val="20"/>
                <w:szCs w:val="20"/>
                <w:lang w:val="en-US"/>
              </w:rPr>
              <w:t xml:space="preserve"> oversight of restrictive practices. The report includes recommendations for practices that should never be used at all in different settings. </w:t>
            </w:r>
          </w:p>
          <w:p w14:paraId="6C5261DD" w14:textId="77777777" w:rsidR="00373B03" w:rsidRPr="002A27CA" w:rsidRDefault="00373B03" w:rsidP="002A27CA">
            <w:pPr>
              <w:rPr>
                <w:sz w:val="20"/>
                <w:szCs w:val="20"/>
                <w:lang w:val="en-US"/>
              </w:rPr>
            </w:pPr>
          </w:p>
          <w:p w14:paraId="715CE5B3" w14:textId="0A135DDE" w:rsidR="00EF517C" w:rsidRPr="00B66AB0" w:rsidRDefault="002A27CA" w:rsidP="002A27CA">
            <w:pPr>
              <w:rPr>
                <w:b/>
                <w:bCs/>
                <w:sz w:val="20"/>
                <w:szCs w:val="20"/>
                <w:lang w:val="en-US"/>
              </w:rPr>
            </w:pPr>
            <w:r w:rsidRPr="002A27CA">
              <w:rPr>
                <w:sz w:val="20"/>
                <w:szCs w:val="20"/>
                <w:lang w:val="en-US"/>
              </w:rPr>
              <w:t xml:space="preserve">The commission recommends a legislative prohibition of non-therapeutic </w:t>
            </w:r>
            <w:proofErr w:type="spellStart"/>
            <w:r w:rsidRPr="002A27CA">
              <w:rPr>
                <w:sz w:val="20"/>
                <w:szCs w:val="20"/>
                <w:lang w:val="en-US"/>
              </w:rPr>
              <w:t>sterilisation</w:t>
            </w:r>
            <w:proofErr w:type="spellEnd"/>
            <w:r w:rsidRPr="002A27CA">
              <w:rPr>
                <w:sz w:val="20"/>
                <w:szCs w:val="20"/>
                <w:lang w:val="en-US"/>
              </w:rPr>
              <w:t xml:space="preserve"> of people with disabilities.</w:t>
            </w:r>
          </w:p>
        </w:tc>
        <w:tc>
          <w:tcPr>
            <w:tcW w:w="5386" w:type="dxa"/>
          </w:tcPr>
          <w:p w14:paraId="19B36BAA" w14:textId="77777777" w:rsidR="00A03985" w:rsidRDefault="00A03985">
            <w:pPr>
              <w:rPr>
                <w:sz w:val="20"/>
                <w:szCs w:val="20"/>
                <w:lang w:val="en-US"/>
              </w:rPr>
            </w:pPr>
          </w:p>
          <w:p w14:paraId="26A1DAF5" w14:textId="5A160465" w:rsidR="00EF517C" w:rsidRPr="00B66AB0" w:rsidRDefault="00EF517C">
            <w:pPr>
              <w:rPr>
                <w:sz w:val="20"/>
                <w:szCs w:val="20"/>
                <w:lang w:val="en-US"/>
              </w:rPr>
            </w:pPr>
            <w:r w:rsidRPr="00B66AB0">
              <w:rPr>
                <w:sz w:val="20"/>
                <w:szCs w:val="20"/>
                <w:lang w:val="en-US"/>
              </w:rPr>
              <w:t xml:space="preserve">Here in the </w:t>
            </w:r>
            <w:proofErr w:type="gramStart"/>
            <w:r w:rsidRPr="00B66AB0">
              <w:rPr>
                <w:sz w:val="20"/>
                <w:szCs w:val="20"/>
                <w:lang w:val="en-US"/>
              </w:rPr>
              <w:t>ACT</w:t>
            </w:r>
            <w:proofErr w:type="gramEnd"/>
            <w:r w:rsidRPr="00B66AB0">
              <w:rPr>
                <w:sz w:val="20"/>
                <w:szCs w:val="20"/>
                <w:lang w:val="en-US"/>
              </w:rPr>
              <w:t xml:space="preserve"> we support work to understand the most appropriate ways to end non</w:t>
            </w:r>
            <w:r w:rsidR="00D847F6">
              <w:rPr>
                <w:sz w:val="20"/>
                <w:szCs w:val="20"/>
                <w:lang w:val="en-US"/>
              </w:rPr>
              <w:t>-</w:t>
            </w:r>
            <w:r w:rsidRPr="00B66AB0">
              <w:rPr>
                <w:sz w:val="20"/>
                <w:szCs w:val="20"/>
                <w:lang w:val="en-US"/>
              </w:rPr>
              <w:t xml:space="preserve">therapeutic </w:t>
            </w:r>
            <w:proofErr w:type="spellStart"/>
            <w:r w:rsidRPr="00B66AB0">
              <w:rPr>
                <w:sz w:val="20"/>
                <w:szCs w:val="20"/>
                <w:lang w:val="en-US"/>
              </w:rPr>
              <w:t>sterilisation</w:t>
            </w:r>
            <w:proofErr w:type="spellEnd"/>
            <w:r w:rsidRPr="00B66AB0">
              <w:rPr>
                <w:sz w:val="20"/>
                <w:szCs w:val="20"/>
                <w:lang w:val="en-US"/>
              </w:rPr>
              <w:t xml:space="preserve"> of people with disability and urge Governments to work with people with disability on these issues.  </w:t>
            </w:r>
          </w:p>
        </w:tc>
        <w:tc>
          <w:tcPr>
            <w:tcW w:w="9072" w:type="dxa"/>
          </w:tcPr>
          <w:p w14:paraId="1740DAD1" w14:textId="77777777" w:rsidR="00141EB5" w:rsidRPr="00E641A8" w:rsidRDefault="00141EB5">
            <w:pPr>
              <w:rPr>
                <w:i/>
                <w:sz w:val="20"/>
                <w:szCs w:val="20"/>
                <w:lang w:val="en-US"/>
              </w:rPr>
            </w:pPr>
            <w:r w:rsidRPr="00E641A8">
              <w:rPr>
                <w:i/>
                <w:sz w:val="20"/>
                <w:szCs w:val="20"/>
                <w:lang w:val="en-US"/>
              </w:rPr>
              <w:t>Commonwealth</w:t>
            </w:r>
          </w:p>
          <w:p w14:paraId="4CD78F07" w14:textId="5AC3A6BB" w:rsidR="00141EB5" w:rsidRDefault="00CB011B" w:rsidP="00CB011B">
            <w:pPr>
              <w:rPr>
                <w:sz w:val="20"/>
                <w:szCs w:val="20"/>
                <w:lang w:val="en-US"/>
              </w:rPr>
            </w:pPr>
            <w:r>
              <w:rPr>
                <w:sz w:val="20"/>
                <w:szCs w:val="20"/>
                <w:lang w:val="en-US"/>
              </w:rPr>
              <w:t xml:space="preserve">There is a very small measure </w:t>
            </w:r>
            <w:r w:rsidRPr="00CB011B">
              <w:rPr>
                <w:sz w:val="20"/>
                <w:szCs w:val="20"/>
                <w:lang w:val="en-US"/>
              </w:rPr>
              <w:t>$1.2 million towards a whole-of-government approach to reduce and eliminate the use of restrictive practices, through establishing targets and performance indicators within the NDIS and developing a joint action plan with states and territories</w:t>
            </w:r>
            <w:r w:rsidR="00D05FF8">
              <w:rPr>
                <w:sz w:val="20"/>
                <w:szCs w:val="20"/>
                <w:lang w:val="en-US"/>
              </w:rPr>
              <w:t>.</w:t>
            </w:r>
          </w:p>
          <w:p w14:paraId="06A7C9FD" w14:textId="77777777" w:rsidR="00822684" w:rsidRDefault="00822684" w:rsidP="00CB011B">
            <w:pPr>
              <w:rPr>
                <w:sz w:val="20"/>
                <w:szCs w:val="20"/>
                <w:lang w:val="en-US"/>
              </w:rPr>
            </w:pPr>
          </w:p>
          <w:p w14:paraId="111F33EE" w14:textId="4FAAB6AB" w:rsidR="00822684" w:rsidRPr="001871EF" w:rsidRDefault="007744AC" w:rsidP="00CB011B">
            <w:pPr>
              <w:rPr>
                <w:sz w:val="20"/>
                <w:szCs w:val="20"/>
                <w:lang w:val="en-US"/>
              </w:rPr>
            </w:pPr>
            <w:r>
              <w:rPr>
                <w:sz w:val="20"/>
                <w:szCs w:val="20"/>
                <w:lang w:val="en-US"/>
              </w:rPr>
              <w:t xml:space="preserve">The government has deemed </w:t>
            </w:r>
            <w:r w:rsidR="001871EF" w:rsidRPr="00903012">
              <w:rPr>
                <w:b/>
                <w:sz w:val="20"/>
                <w:szCs w:val="20"/>
                <w:lang w:val="en-US"/>
              </w:rPr>
              <w:t>Recommendation 6.41 Legislative prohibition of non-therapeutic sterilization</w:t>
            </w:r>
            <w:r w:rsidR="001871EF">
              <w:rPr>
                <w:b/>
                <w:bCs/>
                <w:i/>
                <w:iCs/>
                <w:sz w:val="20"/>
                <w:szCs w:val="20"/>
                <w:lang w:val="en-US"/>
              </w:rPr>
              <w:t xml:space="preserve"> </w:t>
            </w:r>
            <w:r w:rsidR="001871EF">
              <w:rPr>
                <w:sz w:val="20"/>
                <w:szCs w:val="20"/>
                <w:lang w:val="en-US"/>
              </w:rPr>
              <w:t>as subject to further consideration. Note, the ACT accepts this recommendation (in principle</w:t>
            </w:r>
            <w:r w:rsidR="008523A7">
              <w:rPr>
                <w:sz w:val="20"/>
                <w:szCs w:val="20"/>
                <w:lang w:val="en-US"/>
              </w:rPr>
              <w:t>).</w:t>
            </w:r>
            <w:r w:rsidR="003158AE">
              <w:rPr>
                <w:sz w:val="20"/>
                <w:szCs w:val="20"/>
                <w:lang w:val="en-US"/>
              </w:rPr>
              <w:t xml:space="preserve"> The </w:t>
            </w:r>
            <w:proofErr w:type="spellStart"/>
            <w:r w:rsidR="00FB2A8B">
              <w:rPr>
                <w:sz w:val="20"/>
                <w:szCs w:val="20"/>
                <w:lang w:val="en-US"/>
              </w:rPr>
              <w:t>Cth</w:t>
            </w:r>
            <w:proofErr w:type="spellEnd"/>
            <w:r w:rsidR="00FB2A8B">
              <w:rPr>
                <w:sz w:val="20"/>
                <w:szCs w:val="20"/>
                <w:lang w:val="en-US"/>
              </w:rPr>
              <w:t xml:space="preserve"> </w:t>
            </w:r>
            <w:r w:rsidR="00954ED2">
              <w:rPr>
                <w:sz w:val="20"/>
                <w:szCs w:val="20"/>
                <w:lang w:val="en-US"/>
              </w:rPr>
              <w:t xml:space="preserve">states that sterilization falls under the purview of the states and </w:t>
            </w:r>
            <w:proofErr w:type="gramStart"/>
            <w:r w:rsidR="00954ED2">
              <w:rPr>
                <w:sz w:val="20"/>
                <w:szCs w:val="20"/>
                <w:lang w:val="en-US"/>
              </w:rPr>
              <w:t>territories</w:t>
            </w:r>
            <w:proofErr w:type="gramEnd"/>
            <w:r w:rsidR="00954ED2">
              <w:rPr>
                <w:sz w:val="20"/>
                <w:szCs w:val="20"/>
                <w:lang w:val="en-US"/>
              </w:rPr>
              <w:t xml:space="preserve"> and it does not currently have jurisdiction to make changes.</w:t>
            </w:r>
          </w:p>
          <w:p w14:paraId="2AEA6D18" w14:textId="77777777" w:rsidR="00141EB5" w:rsidRDefault="00141EB5">
            <w:pPr>
              <w:rPr>
                <w:sz w:val="20"/>
                <w:szCs w:val="20"/>
                <w:lang w:val="en-US"/>
              </w:rPr>
            </w:pPr>
          </w:p>
          <w:p w14:paraId="0E79A68D" w14:textId="0496DEB5" w:rsidR="00901596" w:rsidRPr="009F2827" w:rsidRDefault="00901596">
            <w:pPr>
              <w:rPr>
                <w:i/>
                <w:sz w:val="20"/>
                <w:szCs w:val="20"/>
                <w:lang w:val="en-US"/>
              </w:rPr>
            </w:pPr>
            <w:r w:rsidRPr="009F2827">
              <w:rPr>
                <w:i/>
                <w:sz w:val="20"/>
                <w:szCs w:val="20"/>
                <w:lang w:val="en-US"/>
              </w:rPr>
              <w:t>ACT</w:t>
            </w:r>
          </w:p>
          <w:p w14:paraId="2B24CFDF" w14:textId="32BE4883" w:rsidR="00EC2655" w:rsidRPr="00EC2655" w:rsidRDefault="00EC2655" w:rsidP="00EC2655">
            <w:pPr>
              <w:rPr>
                <w:sz w:val="20"/>
                <w:szCs w:val="20"/>
              </w:rPr>
            </w:pPr>
            <w:r w:rsidRPr="00EC2655">
              <w:rPr>
                <w:sz w:val="20"/>
                <w:szCs w:val="20"/>
              </w:rPr>
              <w:t>The ACT Government has accepted several key recommendations</w:t>
            </w:r>
            <w:r>
              <w:rPr>
                <w:sz w:val="20"/>
                <w:szCs w:val="20"/>
              </w:rPr>
              <w:t xml:space="preserve"> on</w:t>
            </w:r>
            <w:r w:rsidRPr="00EC2655">
              <w:rPr>
                <w:sz w:val="20"/>
                <w:szCs w:val="20"/>
              </w:rPr>
              <w:t xml:space="preserve"> restrictive practices, committing to stronger legal frameworks and enhanced oversight to ensure these practices are only used as a last resort. </w:t>
            </w:r>
            <w:r w:rsidRPr="00EC2655">
              <w:rPr>
                <w:b/>
                <w:bCs/>
                <w:sz w:val="20"/>
                <w:szCs w:val="20"/>
              </w:rPr>
              <w:t>Recommendation 6.35</w:t>
            </w:r>
            <w:r w:rsidRPr="00EC2655">
              <w:rPr>
                <w:sz w:val="20"/>
                <w:szCs w:val="20"/>
              </w:rPr>
              <w:t>, the Government accepted in principle the development of robust legal frameworks for the authorisation, review, and oversight of restrictive practices across various settings, including disability, health, education, and justice.</w:t>
            </w:r>
          </w:p>
          <w:p w14:paraId="3E4779E0" w14:textId="6DB652F0" w:rsidR="00EC2655" w:rsidRPr="00EC2655" w:rsidRDefault="00EC2655" w:rsidP="00EC2655">
            <w:pPr>
              <w:rPr>
                <w:sz w:val="20"/>
                <w:szCs w:val="20"/>
              </w:rPr>
            </w:pPr>
            <w:r w:rsidRPr="00EC2655">
              <w:rPr>
                <w:b/>
                <w:bCs/>
                <w:sz w:val="20"/>
                <w:szCs w:val="20"/>
              </w:rPr>
              <w:t>Recommendation 6.36</w:t>
            </w:r>
            <w:r w:rsidRPr="00EC2655">
              <w:rPr>
                <w:sz w:val="20"/>
                <w:szCs w:val="20"/>
              </w:rPr>
              <w:t xml:space="preserve"> in principle, agreeing with the prohibition of specific restrictive practices, such as the seclusion of children and other restrictive measures in health, mental health, and education settings, aligning with national principles agreed upon by the former Disability Reform Council.</w:t>
            </w:r>
          </w:p>
          <w:p w14:paraId="571B5460" w14:textId="62D1FC62" w:rsidR="00EC2655" w:rsidRPr="00EC2655" w:rsidRDefault="00EC2655" w:rsidP="00EC2655">
            <w:pPr>
              <w:rPr>
                <w:sz w:val="20"/>
                <w:szCs w:val="20"/>
              </w:rPr>
            </w:pPr>
            <w:r w:rsidRPr="00EC2655">
              <w:rPr>
                <w:b/>
                <w:bCs/>
                <w:sz w:val="20"/>
                <w:szCs w:val="20"/>
              </w:rPr>
              <w:t>Recommendation 6.37</w:t>
            </w:r>
            <w:r w:rsidRPr="00EC2655">
              <w:rPr>
                <w:sz w:val="20"/>
                <w:szCs w:val="20"/>
              </w:rPr>
              <w:t>, the ACT Government has expressed a commitment to developing frameworks aimed at reducing and eventually eliminating the use of restrictive practices. This includes setting sector-specific targets and performance indicators, as well as consulting with stakeholders to ensure effective and comprehensive implementation.</w:t>
            </w:r>
          </w:p>
          <w:p w14:paraId="4E80C416" w14:textId="30E8AD7A" w:rsidR="00EC2655" w:rsidRPr="00EC2655" w:rsidRDefault="00EC2655" w:rsidP="00EC2655">
            <w:pPr>
              <w:rPr>
                <w:sz w:val="20"/>
                <w:szCs w:val="20"/>
              </w:rPr>
            </w:pPr>
            <w:r w:rsidRPr="00EC2655">
              <w:rPr>
                <w:b/>
                <w:bCs/>
                <w:sz w:val="20"/>
                <w:szCs w:val="20"/>
              </w:rPr>
              <w:t>Recommendation 6.39</w:t>
            </w:r>
            <w:r w:rsidRPr="00EC2655">
              <w:rPr>
                <w:sz w:val="20"/>
                <w:szCs w:val="20"/>
              </w:rPr>
              <w:t xml:space="preserve"> in principle, advocating for the improvement of data collection and reporting on restrictive practices. It aims to develop consistent data definitions and methods across jurisdictions, with this data published annually to monitor progress and ensure transparency.</w:t>
            </w:r>
          </w:p>
          <w:p w14:paraId="3CEF5855" w14:textId="77777777" w:rsidR="00EC2655" w:rsidRDefault="00EC2655" w:rsidP="00EC2655">
            <w:pPr>
              <w:rPr>
                <w:sz w:val="20"/>
                <w:szCs w:val="20"/>
              </w:rPr>
            </w:pPr>
            <w:r w:rsidRPr="00EC2655">
              <w:rPr>
                <w:sz w:val="20"/>
                <w:szCs w:val="20"/>
              </w:rPr>
              <w:t xml:space="preserve">Finally, the Government agrees in principle with </w:t>
            </w:r>
            <w:r w:rsidRPr="00EC2655">
              <w:rPr>
                <w:b/>
                <w:bCs/>
                <w:sz w:val="20"/>
                <w:szCs w:val="20"/>
              </w:rPr>
              <w:t>Recommendation 6.40</w:t>
            </w:r>
            <w:r w:rsidRPr="00EC2655">
              <w:rPr>
                <w:sz w:val="20"/>
                <w:szCs w:val="20"/>
              </w:rPr>
              <w:t xml:space="preserve"> to establish sector-specific targets and performance indicators to drive the reduction and eventual elimination of restrictive practices, aligning with national efforts and addressing gaps in coverage. Through these measures, the ACT Government aims to protect the rights of individuals subjected to restrictive practices and promote their reduction and eventual elimination.</w:t>
            </w:r>
          </w:p>
          <w:p w14:paraId="6E457EA6" w14:textId="72198789" w:rsidR="00C90D63" w:rsidRDefault="00C90D63" w:rsidP="00EC2655">
            <w:pPr>
              <w:rPr>
                <w:sz w:val="20"/>
                <w:szCs w:val="20"/>
              </w:rPr>
            </w:pPr>
          </w:p>
          <w:p w14:paraId="1B3E130A" w14:textId="03F2DBA1" w:rsidR="0004132A" w:rsidRDefault="0004132A" w:rsidP="00EC2655">
            <w:pPr>
              <w:rPr>
                <w:sz w:val="20"/>
                <w:szCs w:val="20"/>
              </w:rPr>
            </w:pPr>
            <w:r>
              <w:rPr>
                <w:sz w:val="20"/>
                <w:szCs w:val="20"/>
              </w:rPr>
              <w:t>Note work on mental health act review which would address an evidence</w:t>
            </w:r>
            <w:r w:rsidR="00AB7CE7">
              <w:rPr>
                <w:sz w:val="20"/>
                <w:szCs w:val="20"/>
              </w:rPr>
              <w:t>-</w:t>
            </w:r>
            <w:r>
              <w:rPr>
                <w:sz w:val="20"/>
                <w:szCs w:val="20"/>
              </w:rPr>
              <w:t xml:space="preserve"> based approach to removing R</w:t>
            </w:r>
            <w:r w:rsidR="00AB7CE7">
              <w:rPr>
                <w:sz w:val="20"/>
                <w:szCs w:val="20"/>
              </w:rPr>
              <w:t xml:space="preserve">estrictive </w:t>
            </w:r>
            <w:r>
              <w:rPr>
                <w:sz w:val="20"/>
                <w:szCs w:val="20"/>
              </w:rPr>
              <w:t>P</w:t>
            </w:r>
            <w:r w:rsidR="00AB7CE7">
              <w:rPr>
                <w:sz w:val="20"/>
                <w:szCs w:val="20"/>
              </w:rPr>
              <w:t>ractices</w:t>
            </w:r>
            <w:r>
              <w:rPr>
                <w:sz w:val="20"/>
                <w:szCs w:val="20"/>
              </w:rPr>
              <w:t xml:space="preserve"> is s</w:t>
            </w:r>
            <w:r w:rsidR="0079792D">
              <w:rPr>
                <w:sz w:val="20"/>
                <w:szCs w:val="20"/>
              </w:rPr>
              <w:t>t</w:t>
            </w:r>
            <w:r>
              <w:rPr>
                <w:sz w:val="20"/>
                <w:szCs w:val="20"/>
              </w:rPr>
              <w:t>ill unfunded</w:t>
            </w:r>
            <w:r w:rsidR="0079792D">
              <w:rPr>
                <w:sz w:val="20"/>
                <w:szCs w:val="20"/>
              </w:rPr>
              <w:t>.</w:t>
            </w:r>
            <w:r>
              <w:rPr>
                <w:sz w:val="20"/>
                <w:szCs w:val="20"/>
              </w:rPr>
              <w:t xml:space="preserve"> </w:t>
            </w:r>
          </w:p>
          <w:p w14:paraId="2A59A8C5" w14:textId="00DEDFAB" w:rsidR="00EF517C" w:rsidRPr="00B66AB0" w:rsidRDefault="00EF517C">
            <w:pPr>
              <w:rPr>
                <w:sz w:val="20"/>
                <w:szCs w:val="20"/>
                <w:lang w:val="en-US"/>
              </w:rPr>
            </w:pPr>
          </w:p>
        </w:tc>
        <w:tc>
          <w:tcPr>
            <w:tcW w:w="2410" w:type="dxa"/>
          </w:tcPr>
          <w:p w14:paraId="50268FF7" w14:textId="77777777" w:rsidR="00483427" w:rsidRDefault="00483427" w:rsidP="00483427">
            <w:pPr>
              <w:rPr>
                <w:rFonts w:ascii="Wingdings" w:eastAsia="Wingdings" w:hAnsi="Wingdings" w:cs="Wingdings"/>
                <w:sz w:val="20"/>
                <w:szCs w:val="20"/>
                <w:lang w:val="en-US"/>
              </w:rPr>
            </w:pPr>
            <w:r w:rsidRPr="00D30816">
              <w:rPr>
                <w:color w:val="FF0000"/>
                <w:sz w:val="96"/>
                <w:szCs w:val="96"/>
                <w:lang w:val="en-US"/>
              </w:rPr>
              <w:sym w:font="Wingdings" w:char="F078"/>
            </w:r>
          </w:p>
          <w:p w14:paraId="4CAC5725" w14:textId="49EE25A2" w:rsidR="00EF517C" w:rsidRPr="00B66AB0" w:rsidRDefault="00EF517C">
            <w:pPr>
              <w:rPr>
                <w:sz w:val="20"/>
                <w:szCs w:val="20"/>
                <w:lang w:val="en-US"/>
              </w:rPr>
            </w:pPr>
          </w:p>
        </w:tc>
      </w:tr>
      <w:tr w:rsidR="007578A3" w:rsidRPr="00B66AB0" w14:paraId="6D364846" w14:textId="77777777" w:rsidTr="00973197">
        <w:tc>
          <w:tcPr>
            <w:tcW w:w="4957" w:type="dxa"/>
          </w:tcPr>
          <w:p w14:paraId="10F38181" w14:textId="77777777" w:rsidR="00EF517C" w:rsidRPr="00B66AB0" w:rsidRDefault="00EF517C">
            <w:pPr>
              <w:rPr>
                <w:b/>
                <w:bCs/>
                <w:sz w:val="20"/>
                <w:szCs w:val="20"/>
                <w:lang w:val="en-US"/>
              </w:rPr>
            </w:pPr>
            <w:bookmarkStart w:id="8" w:name="Ed"/>
            <w:r w:rsidRPr="00B66AB0">
              <w:rPr>
                <w:b/>
                <w:bCs/>
                <w:sz w:val="20"/>
                <w:szCs w:val="20"/>
                <w:lang w:val="en-US"/>
              </w:rPr>
              <w:t xml:space="preserve">Education </w:t>
            </w:r>
          </w:p>
          <w:bookmarkEnd w:id="8"/>
          <w:p w14:paraId="1211D5E8" w14:textId="75FB5DF4" w:rsidR="00EF517C" w:rsidRPr="00B66AB0" w:rsidRDefault="00EF517C">
            <w:pPr>
              <w:rPr>
                <w:sz w:val="20"/>
                <w:szCs w:val="20"/>
                <w:lang w:val="en-US"/>
              </w:rPr>
            </w:pPr>
            <w:r w:rsidRPr="00B66AB0">
              <w:rPr>
                <w:sz w:val="20"/>
                <w:szCs w:val="20"/>
                <w:lang w:val="en-US"/>
              </w:rPr>
              <w:t xml:space="preserve">The commissioners with a disability recommended a 28-year phase out of all segregated schools.  The Commissioners unanimously supported a legal entitlement for students with a disability to </w:t>
            </w:r>
            <w:proofErr w:type="spellStart"/>
            <w:r w:rsidRPr="00B66AB0">
              <w:rPr>
                <w:sz w:val="20"/>
                <w:szCs w:val="20"/>
                <w:lang w:val="en-US"/>
              </w:rPr>
              <w:t>enrol</w:t>
            </w:r>
            <w:proofErr w:type="spellEnd"/>
            <w:r w:rsidRPr="00B66AB0">
              <w:rPr>
                <w:sz w:val="20"/>
                <w:szCs w:val="20"/>
                <w:lang w:val="en-US"/>
              </w:rPr>
              <w:t xml:space="preserve"> at a local mainstream school, steps to prevent the exclusionary discipline of students with disability and improving policies and procedures on the provision of reasonable adjustments. They also recommended careers guidance and transition support service for people with disabilities plus inclusive education units, workforce reform and work on data. In addition, they recommend improvements to student with disability funding loadings.</w:t>
            </w:r>
          </w:p>
        </w:tc>
        <w:tc>
          <w:tcPr>
            <w:tcW w:w="5386" w:type="dxa"/>
          </w:tcPr>
          <w:p w14:paraId="669BEACE" w14:textId="77777777" w:rsidR="007810A8" w:rsidRDefault="007810A8" w:rsidP="00EF517C">
            <w:pPr>
              <w:rPr>
                <w:sz w:val="20"/>
                <w:szCs w:val="20"/>
                <w:lang w:val="en-US"/>
              </w:rPr>
            </w:pPr>
          </w:p>
          <w:p w14:paraId="547C943E" w14:textId="2C37754E" w:rsidR="00EF517C" w:rsidRPr="00B66AB0" w:rsidRDefault="00EF517C" w:rsidP="00EF517C">
            <w:pPr>
              <w:rPr>
                <w:sz w:val="20"/>
                <w:szCs w:val="20"/>
                <w:lang w:val="en-US"/>
              </w:rPr>
            </w:pPr>
            <w:r w:rsidRPr="00B66AB0">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5D03AD">
              <w:rPr>
                <w:sz w:val="20"/>
                <w:szCs w:val="20"/>
                <w:lang w:val="en-US"/>
              </w:rPr>
              <w:t xml:space="preserve"> </w:t>
            </w:r>
            <w:r w:rsidRPr="00B66AB0">
              <w:rPr>
                <w:sz w:val="20"/>
                <w:szCs w:val="20"/>
                <w:lang w:val="en-US"/>
              </w:rPr>
              <w:t xml:space="preserve">signal our support for funding in bilateral and multilateral agreements to deliver these recommendations.   </w:t>
            </w:r>
          </w:p>
          <w:p w14:paraId="3B59DB71" w14:textId="77777777" w:rsidR="007810A8" w:rsidRDefault="007810A8" w:rsidP="00EF517C">
            <w:pPr>
              <w:rPr>
                <w:sz w:val="20"/>
                <w:szCs w:val="20"/>
                <w:lang w:val="en-US"/>
              </w:rPr>
            </w:pPr>
          </w:p>
          <w:p w14:paraId="5147F0BC" w14:textId="068BC6E4" w:rsidR="00EF517C" w:rsidRPr="00B66AB0" w:rsidRDefault="00EF517C" w:rsidP="00EF517C">
            <w:pPr>
              <w:rPr>
                <w:sz w:val="20"/>
                <w:szCs w:val="20"/>
                <w:lang w:val="en-US"/>
              </w:rPr>
            </w:pPr>
            <w:r w:rsidRPr="00B66AB0">
              <w:rPr>
                <w:sz w:val="20"/>
                <w:szCs w:val="20"/>
                <w:lang w:val="en-US"/>
              </w:rPr>
              <w:t xml:space="preserve">Here in the ACT, we support a phase out of all segregated schools along the lines of the roadmap for Inclusive Education.  The ACT’s strategy for inclusive education should respond to these recommendations and include a clear definition of inclusive education that is not segregation.  We support the creation of a right to </w:t>
            </w:r>
            <w:proofErr w:type="spellStart"/>
            <w:r w:rsidRPr="00B66AB0">
              <w:rPr>
                <w:sz w:val="20"/>
                <w:szCs w:val="20"/>
                <w:lang w:val="en-US"/>
              </w:rPr>
              <w:t>enrol</w:t>
            </w:r>
            <w:proofErr w:type="spellEnd"/>
            <w:r w:rsidRPr="00B66AB0">
              <w:rPr>
                <w:sz w:val="20"/>
                <w:szCs w:val="20"/>
                <w:lang w:val="en-US"/>
              </w:rPr>
              <w:t xml:space="preserve"> at a mainstream school and the ability of students with </w:t>
            </w:r>
            <w:proofErr w:type="gramStart"/>
            <w:r w:rsidRPr="00B66AB0">
              <w:rPr>
                <w:sz w:val="20"/>
                <w:szCs w:val="20"/>
                <w:lang w:val="en-US"/>
              </w:rPr>
              <w:t>disability</w:t>
            </w:r>
            <w:proofErr w:type="gramEnd"/>
            <w:r w:rsidRPr="00B66AB0">
              <w:rPr>
                <w:sz w:val="20"/>
                <w:szCs w:val="20"/>
                <w:lang w:val="en-US"/>
              </w:rPr>
              <w:t xml:space="preserve"> to learn in a mainstream classroom.  We support steps to prevent the exclusionary discipline of students with </w:t>
            </w:r>
            <w:proofErr w:type="gramStart"/>
            <w:r w:rsidRPr="00B66AB0">
              <w:rPr>
                <w:sz w:val="20"/>
                <w:szCs w:val="20"/>
                <w:lang w:val="en-US"/>
              </w:rPr>
              <w:t>disability</w:t>
            </w:r>
            <w:proofErr w:type="gramEnd"/>
            <w:r w:rsidRPr="00B66AB0">
              <w:rPr>
                <w:sz w:val="20"/>
                <w:szCs w:val="20"/>
                <w:lang w:val="en-US"/>
              </w:rPr>
              <w:t xml:space="preserve"> and improve policies and procedures on the provision of reasonable adjustments.  We support a focus on universal design within all school buildings, </w:t>
            </w:r>
            <w:r w:rsidRPr="00B66AB0">
              <w:rPr>
                <w:sz w:val="20"/>
                <w:szCs w:val="20"/>
                <w:lang w:val="en-US"/>
              </w:rPr>
              <w:lastRenderedPageBreak/>
              <w:t>digital processes and curricula plus continued increases to the student loading to reduce the ACT’s overreliance on segregation.</w:t>
            </w:r>
          </w:p>
        </w:tc>
        <w:tc>
          <w:tcPr>
            <w:tcW w:w="9072" w:type="dxa"/>
          </w:tcPr>
          <w:p w14:paraId="4FB10A53" w14:textId="281805AB" w:rsidR="00887299" w:rsidRPr="001871EF" w:rsidRDefault="00887299">
            <w:pPr>
              <w:rPr>
                <w:i/>
                <w:sz w:val="20"/>
                <w:szCs w:val="20"/>
                <w:lang w:val="en-US"/>
              </w:rPr>
            </w:pPr>
            <w:r w:rsidRPr="001871EF">
              <w:rPr>
                <w:i/>
                <w:sz w:val="20"/>
                <w:szCs w:val="20"/>
                <w:lang w:val="en-US"/>
              </w:rPr>
              <w:lastRenderedPageBreak/>
              <w:t xml:space="preserve">Commonwealth </w:t>
            </w:r>
          </w:p>
          <w:p w14:paraId="3A80902B" w14:textId="42DDA039" w:rsidR="00493ED7" w:rsidRPr="00493ED7" w:rsidRDefault="002C50E2" w:rsidP="00493ED7">
            <w:pPr>
              <w:rPr>
                <w:sz w:val="20"/>
                <w:szCs w:val="20"/>
                <w:lang w:val="en-US"/>
              </w:rPr>
            </w:pPr>
            <w:r>
              <w:rPr>
                <w:sz w:val="20"/>
                <w:szCs w:val="20"/>
                <w:lang w:val="en-US"/>
              </w:rPr>
              <w:t xml:space="preserve">The Commonwealth </w:t>
            </w:r>
            <w:r w:rsidR="001D2002">
              <w:rPr>
                <w:sz w:val="20"/>
                <w:szCs w:val="20"/>
                <w:lang w:val="en-US"/>
              </w:rPr>
              <w:t xml:space="preserve">has a very vague commitment to supporting the vision for inclusion set out by the Royal Commission </w:t>
            </w:r>
            <w:r w:rsidR="00E54547">
              <w:rPr>
                <w:sz w:val="20"/>
                <w:szCs w:val="20"/>
                <w:lang w:val="en-US"/>
              </w:rPr>
              <w:t xml:space="preserve">but then goes on to specifically reject the recommendations </w:t>
            </w:r>
            <w:r w:rsidR="00493ED7">
              <w:rPr>
                <w:sz w:val="20"/>
                <w:szCs w:val="20"/>
                <w:lang w:val="en-US"/>
              </w:rPr>
              <w:t>on inclusive schooling saying the</w:t>
            </w:r>
            <w:r w:rsidR="00493ED7" w:rsidRPr="00493ED7">
              <w:rPr>
                <w:sz w:val="20"/>
                <w:szCs w:val="20"/>
                <w:lang w:val="en-US"/>
              </w:rPr>
              <w:t xml:space="preserve"> </w:t>
            </w:r>
            <w:r w:rsidR="00493ED7">
              <w:rPr>
                <w:sz w:val="20"/>
                <w:szCs w:val="20"/>
                <w:lang w:val="en-US"/>
              </w:rPr>
              <w:t>‘</w:t>
            </w:r>
            <w:r w:rsidR="00493ED7" w:rsidRPr="00493ED7">
              <w:rPr>
                <w:sz w:val="20"/>
                <w:szCs w:val="20"/>
                <w:lang w:val="en-US"/>
              </w:rPr>
              <w:t>Australian Government recognises the ongoing role of specialist settings in service provision for students with disability and</w:t>
            </w:r>
            <w:r w:rsidR="00493ED7">
              <w:rPr>
                <w:sz w:val="20"/>
                <w:szCs w:val="20"/>
                <w:lang w:val="en-US"/>
              </w:rPr>
              <w:t xml:space="preserve"> </w:t>
            </w:r>
            <w:r w:rsidR="00493ED7" w:rsidRPr="00493ED7">
              <w:rPr>
                <w:sz w:val="20"/>
                <w:szCs w:val="20"/>
                <w:lang w:val="en-US"/>
              </w:rPr>
              <w:t xml:space="preserve">providing choice for </w:t>
            </w:r>
          </w:p>
          <w:p w14:paraId="51A3D4A3" w14:textId="0A003997" w:rsidR="002C50E2" w:rsidRDefault="00493ED7" w:rsidP="00493ED7">
            <w:pPr>
              <w:rPr>
                <w:sz w:val="20"/>
                <w:szCs w:val="20"/>
              </w:rPr>
            </w:pPr>
            <w:r w:rsidRPr="2466FD73">
              <w:rPr>
                <w:sz w:val="20"/>
                <w:szCs w:val="20"/>
              </w:rPr>
              <w:t>students with disability and their families’.</w:t>
            </w:r>
          </w:p>
          <w:p w14:paraId="1D8819AB" w14:textId="4E3F62CB" w:rsidR="00570584" w:rsidRDefault="00570584" w:rsidP="2466FD73">
            <w:pPr>
              <w:rPr>
                <w:sz w:val="20"/>
                <w:szCs w:val="20"/>
              </w:rPr>
            </w:pPr>
          </w:p>
          <w:p w14:paraId="2C7CB0B8" w14:textId="02A333D3" w:rsidR="00570584" w:rsidRDefault="00570584" w:rsidP="2466FD73">
            <w:pPr>
              <w:rPr>
                <w:sz w:val="20"/>
                <w:szCs w:val="20"/>
              </w:rPr>
            </w:pPr>
            <w:r>
              <w:rPr>
                <w:sz w:val="20"/>
                <w:szCs w:val="20"/>
              </w:rPr>
              <w:t>‘State and territory governments will continue to be responsible for making decisions about registration of schools in their jurisdictions, with the intent to strengthen inclusive education over time.’</w:t>
            </w:r>
          </w:p>
          <w:p w14:paraId="38CFF04E" w14:textId="77777777" w:rsidR="00EF517C" w:rsidRDefault="00EF517C">
            <w:pPr>
              <w:rPr>
                <w:sz w:val="20"/>
                <w:szCs w:val="20"/>
                <w:lang w:val="en-US"/>
              </w:rPr>
            </w:pPr>
          </w:p>
          <w:p w14:paraId="123029E8" w14:textId="77777777" w:rsidR="002C3D0A" w:rsidRDefault="002C3D0A">
            <w:pPr>
              <w:rPr>
                <w:i/>
                <w:iCs/>
                <w:sz w:val="20"/>
                <w:szCs w:val="20"/>
                <w:lang w:val="en-US"/>
              </w:rPr>
            </w:pPr>
            <w:r>
              <w:rPr>
                <w:i/>
                <w:iCs/>
                <w:sz w:val="20"/>
                <w:szCs w:val="20"/>
                <w:lang w:val="en-US"/>
              </w:rPr>
              <w:t>ACT</w:t>
            </w:r>
          </w:p>
          <w:p w14:paraId="40AF144D" w14:textId="0CA7FB73" w:rsidR="007637F8" w:rsidRDefault="007637F8">
            <w:pPr>
              <w:rPr>
                <w:sz w:val="20"/>
                <w:szCs w:val="20"/>
                <w:lang w:val="en-US"/>
              </w:rPr>
            </w:pPr>
            <w:r>
              <w:rPr>
                <w:i/>
                <w:iCs/>
                <w:sz w:val="20"/>
                <w:szCs w:val="20"/>
                <w:lang w:val="en-US"/>
              </w:rPr>
              <w:t>Has also rejected this recommendation arguing a right to choose.</w:t>
            </w:r>
          </w:p>
          <w:p w14:paraId="42A2528C" w14:textId="416B07C5" w:rsidR="00EC70E1" w:rsidRDefault="004D756E">
            <w:pPr>
              <w:rPr>
                <w:sz w:val="20"/>
                <w:szCs w:val="20"/>
              </w:rPr>
            </w:pPr>
            <w:r w:rsidRPr="004D756E">
              <w:rPr>
                <w:sz w:val="20"/>
                <w:szCs w:val="20"/>
              </w:rPr>
              <w:t>Inclusive Education: A Disability Inclusion Strategy for ACT Public Schools 2024-2034 and First Action Plan 2024-2026 commit to reviewing legislation and policy to reinforce the right of children and young people with disability to enrol, attend and access adjustments at their local school.</w:t>
            </w:r>
          </w:p>
          <w:p w14:paraId="6E8D5E40" w14:textId="7C47E5C1" w:rsidR="00EF517C" w:rsidRDefault="00EA18F4">
            <w:pPr>
              <w:rPr>
                <w:sz w:val="20"/>
                <w:szCs w:val="20"/>
              </w:rPr>
            </w:pPr>
            <w:r w:rsidRPr="00EA18F4">
              <w:rPr>
                <w:sz w:val="20"/>
                <w:szCs w:val="20"/>
              </w:rPr>
              <w:lastRenderedPageBreak/>
              <w:t>In 2022, the ACT Government passed amendments to the Education Act 2004 (ACT) which enshrine in law that ACT public schools cannot exclude any student of compulsory education age. The amendments further enshrine safeguards against the misuse of suspensions, transfers, and in the case of non-government schools, expulsions. This includes requirements to ensure procedural fairness, exhaust all reasonable alternatives, and review reasonable adjustments for students with disability, in both public and nongovernment schools. Work to amend the Disability Discrimination Act 1992 (</w:t>
            </w:r>
            <w:proofErr w:type="spellStart"/>
            <w:r w:rsidRPr="00EA18F4">
              <w:rPr>
                <w:sz w:val="20"/>
                <w:szCs w:val="20"/>
              </w:rPr>
              <w:t>Cth</w:t>
            </w:r>
            <w:proofErr w:type="spellEnd"/>
            <w:r w:rsidRPr="00EA18F4">
              <w:rPr>
                <w:sz w:val="20"/>
                <w:szCs w:val="20"/>
              </w:rPr>
              <w:t>) will require national progression</w:t>
            </w:r>
            <w:r w:rsidR="00EC70E1">
              <w:rPr>
                <w:sz w:val="20"/>
                <w:szCs w:val="20"/>
              </w:rPr>
              <w:t xml:space="preserve"> </w:t>
            </w:r>
          </w:p>
          <w:p w14:paraId="4FEB32C3" w14:textId="635D8ABE" w:rsidR="00EF517C" w:rsidRPr="004D756E" w:rsidRDefault="00EF517C">
            <w:pPr>
              <w:rPr>
                <w:sz w:val="20"/>
                <w:szCs w:val="20"/>
                <w:lang w:val="en-US"/>
              </w:rPr>
            </w:pPr>
          </w:p>
        </w:tc>
        <w:tc>
          <w:tcPr>
            <w:tcW w:w="2410" w:type="dxa"/>
          </w:tcPr>
          <w:p w14:paraId="28BD28B3" w14:textId="77777777" w:rsidR="00EF517C" w:rsidRDefault="00EF517C">
            <w:pPr>
              <w:rPr>
                <w:sz w:val="20"/>
                <w:szCs w:val="20"/>
                <w:lang w:val="en-US"/>
              </w:rPr>
            </w:pPr>
          </w:p>
          <w:p w14:paraId="05BEF1DC" w14:textId="77777777" w:rsidR="00D42676" w:rsidRDefault="00D42676" w:rsidP="00D42676">
            <w:pPr>
              <w:rPr>
                <w:rFonts w:ascii="Wingdings" w:eastAsia="Wingdings" w:hAnsi="Wingdings" w:cs="Wingdings"/>
                <w:sz w:val="20"/>
                <w:szCs w:val="20"/>
                <w:lang w:val="en-US"/>
              </w:rPr>
            </w:pPr>
            <w:r w:rsidRPr="00D30816">
              <w:rPr>
                <w:color w:val="FF0000"/>
                <w:sz w:val="96"/>
                <w:szCs w:val="96"/>
                <w:lang w:val="en-US"/>
              </w:rPr>
              <w:sym w:font="Wingdings" w:char="F078"/>
            </w:r>
          </w:p>
          <w:p w14:paraId="0D075436" w14:textId="293606BE" w:rsidR="00EF517C" w:rsidRPr="00B66AB0" w:rsidRDefault="004666E9">
            <w:pPr>
              <w:rPr>
                <w:sz w:val="20"/>
                <w:szCs w:val="20"/>
                <w:lang w:val="en-US"/>
              </w:rPr>
            </w:pPr>
            <w:r>
              <w:rPr>
                <w:sz w:val="20"/>
                <w:szCs w:val="20"/>
                <w:lang w:val="en-US"/>
              </w:rPr>
              <w:t>Sounds very much like passing the buck</w:t>
            </w:r>
            <w:r w:rsidR="00A75BE1">
              <w:rPr>
                <w:sz w:val="20"/>
                <w:szCs w:val="20"/>
                <w:lang w:val="en-US"/>
              </w:rPr>
              <w:t xml:space="preserve">. </w:t>
            </w:r>
            <w:r w:rsidR="00F62628">
              <w:rPr>
                <w:sz w:val="20"/>
                <w:szCs w:val="20"/>
                <w:lang w:val="en-US"/>
              </w:rPr>
              <w:t xml:space="preserve">The federal government chose to sidestep this debate. </w:t>
            </w:r>
          </w:p>
        </w:tc>
      </w:tr>
      <w:tr w:rsidR="007578A3" w:rsidRPr="00B66AB0" w14:paraId="5BA220C2" w14:textId="77777777" w:rsidTr="00973197">
        <w:tc>
          <w:tcPr>
            <w:tcW w:w="4957" w:type="dxa"/>
          </w:tcPr>
          <w:p w14:paraId="63EFF8AA" w14:textId="77777777" w:rsidR="007D2801" w:rsidRPr="00B66AB0" w:rsidRDefault="007D2801" w:rsidP="007D2801">
            <w:pPr>
              <w:rPr>
                <w:b/>
                <w:bCs/>
                <w:sz w:val="20"/>
                <w:szCs w:val="20"/>
                <w:lang w:val="en-US"/>
              </w:rPr>
            </w:pPr>
            <w:bookmarkStart w:id="9" w:name="Employment"/>
            <w:r w:rsidRPr="00B66AB0">
              <w:rPr>
                <w:b/>
                <w:bCs/>
                <w:sz w:val="20"/>
                <w:szCs w:val="20"/>
                <w:lang w:val="en-US"/>
              </w:rPr>
              <w:t>Employment</w:t>
            </w:r>
            <w:bookmarkEnd w:id="9"/>
            <w:r w:rsidRPr="00B66AB0">
              <w:rPr>
                <w:b/>
                <w:bCs/>
                <w:sz w:val="20"/>
                <w:szCs w:val="20"/>
                <w:lang w:val="en-US"/>
              </w:rPr>
              <w:t xml:space="preserve"> </w:t>
            </w:r>
          </w:p>
          <w:p w14:paraId="41BCCBC5" w14:textId="389269C2" w:rsidR="007D2801" w:rsidRPr="00B66AB0" w:rsidRDefault="007D2801" w:rsidP="007D2801">
            <w:pPr>
              <w:rPr>
                <w:sz w:val="20"/>
                <w:szCs w:val="20"/>
                <w:lang w:val="en-US"/>
              </w:rPr>
            </w:pPr>
            <w:r w:rsidRPr="00B66AB0">
              <w:rPr>
                <w:sz w:val="20"/>
                <w:szCs w:val="20"/>
                <w:lang w:val="en-US"/>
              </w:rPr>
              <w:t xml:space="preserve">The commission recommends broader access to employment services including removing the requirement for person to have </w:t>
            </w:r>
            <w:proofErr w:type="gramStart"/>
            <w:r w:rsidRPr="00B66AB0">
              <w:rPr>
                <w:sz w:val="20"/>
                <w:szCs w:val="20"/>
                <w:lang w:val="en-US"/>
              </w:rPr>
              <w:t>an eight hours</w:t>
            </w:r>
            <w:proofErr w:type="gramEnd"/>
            <w:r w:rsidRPr="00B66AB0">
              <w:rPr>
                <w:sz w:val="20"/>
                <w:szCs w:val="20"/>
                <w:lang w:val="en-US"/>
              </w:rPr>
              <w:t xml:space="preserve"> a week work capacity, establishing specific and disaggregated targets for disability employment in the public sector, specific disability employment targets for new public service hires, changes to the application of the merit principle and an adjustment passport. They also recommend that all governments should adopt procurement policies to preference businesses and entities that are able to demonstrate good practice. </w:t>
            </w:r>
          </w:p>
          <w:p w14:paraId="6F7E6DE8" w14:textId="77777777" w:rsidR="00F67EC4" w:rsidRDefault="00F67EC4" w:rsidP="007D2801">
            <w:pPr>
              <w:rPr>
                <w:sz w:val="20"/>
                <w:szCs w:val="20"/>
                <w:lang w:val="en-US"/>
              </w:rPr>
            </w:pPr>
          </w:p>
          <w:p w14:paraId="02E21678" w14:textId="09F74E2B" w:rsidR="007D2801" w:rsidRPr="00B66AB0" w:rsidRDefault="007D2801" w:rsidP="007D2801">
            <w:pPr>
              <w:rPr>
                <w:sz w:val="20"/>
                <w:szCs w:val="20"/>
                <w:lang w:val="en-US"/>
              </w:rPr>
            </w:pPr>
            <w:r w:rsidRPr="00B66AB0">
              <w:rPr>
                <w:sz w:val="20"/>
                <w:szCs w:val="20"/>
                <w:lang w:val="en-US"/>
              </w:rPr>
              <w:t xml:space="preserve">The Commission recommends that there should be a Disability Employment Rights Council, </w:t>
            </w:r>
            <w:r w:rsidR="000125D7" w:rsidRPr="00B66AB0">
              <w:rPr>
                <w:sz w:val="20"/>
                <w:szCs w:val="20"/>
                <w:lang w:val="en-US"/>
              </w:rPr>
              <w:t>an</w:t>
            </w:r>
            <w:r w:rsidRPr="00B66AB0">
              <w:rPr>
                <w:sz w:val="20"/>
                <w:szCs w:val="20"/>
                <w:lang w:val="en-US"/>
              </w:rPr>
              <w:t xml:space="preserve"> amendment to the Fair Work Act and an amendment to the Disability Discrimination Act as well as widening the role of the Fair Work Ombudsman.  </w:t>
            </w:r>
          </w:p>
          <w:p w14:paraId="28716A67" w14:textId="77777777" w:rsidR="007D2801" w:rsidRPr="00B66AB0" w:rsidRDefault="007D2801" w:rsidP="007D2801">
            <w:pPr>
              <w:rPr>
                <w:sz w:val="20"/>
                <w:szCs w:val="20"/>
                <w:lang w:val="en-US"/>
              </w:rPr>
            </w:pPr>
          </w:p>
          <w:p w14:paraId="37B88037" w14:textId="77777777" w:rsidR="007D2801" w:rsidRPr="00B66AB0" w:rsidRDefault="007D2801" w:rsidP="007D2801">
            <w:pPr>
              <w:rPr>
                <w:sz w:val="20"/>
                <w:szCs w:val="20"/>
                <w:lang w:val="en-US"/>
              </w:rPr>
            </w:pPr>
          </w:p>
          <w:p w14:paraId="7C0115AE" w14:textId="26286569" w:rsidR="00EF517C" w:rsidRPr="00B66AB0" w:rsidRDefault="007D2801" w:rsidP="007D2801">
            <w:pPr>
              <w:rPr>
                <w:sz w:val="20"/>
                <w:szCs w:val="20"/>
                <w:lang w:val="en-US"/>
              </w:rPr>
            </w:pPr>
            <w:r w:rsidRPr="00B66AB0">
              <w:rPr>
                <w:sz w:val="20"/>
                <w:szCs w:val="20"/>
                <w:lang w:val="en-US"/>
              </w:rPr>
              <w:t xml:space="preserve"> </w:t>
            </w:r>
          </w:p>
        </w:tc>
        <w:tc>
          <w:tcPr>
            <w:tcW w:w="5386" w:type="dxa"/>
          </w:tcPr>
          <w:p w14:paraId="120C34AD" w14:textId="77777777" w:rsidR="00EA1726" w:rsidRDefault="00EA1726" w:rsidP="007D2801">
            <w:pPr>
              <w:rPr>
                <w:sz w:val="20"/>
                <w:szCs w:val="20"/>
                <w:lang w:val="en-US"/>
              </w:rPr>
            </w:pPr>
          </w:p>
          <w:p w14:paraId="10E6387E" w14:textId="53D79F6F" w:rsidR="007D2801" w:rsidRPr="00B66AB0" w:rsidRDefault="007D2801" w:rsidP="007D2801">
            <w:pPr>
              <w:rPr>
                <w:sz w:val="20"/>
                <w:szCs w:val="20"/>
                <w:lang w:val="en-US"/>
              </w:rPr>
            </w:pPr>
            <w:r w:rsidRPr="00B66AB0">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5D03AD">
              <w:rPr>
                <w:sz w:val="20"/>
                <w:szCs w:val="20"/>
                <w:lang w:val="en-US"/>
              </w:rPr>
              <w:t xml:space="preserve"> </w:t>
            </w:r>
            <w:r w:rsidRPr="00B66AB0">
              <w:rPr>
                <w:sz w:val="20"/>
                <w:szCs w:val="20"/>
                <w:lang w:val="en-US"/>
              </w:rPr>
              <w:t>signal our support for an end to segregated employment and improvements to employment services and for a national inclusive employment roadmap to eliminate sub minimum wages.</w:t>
            </w:r>
          </w:p>
          <w:p w14:paraId="2FE83E29" w14:textId="77777777" w:rsidR="00EA1726" w:rsidRDefault="00EA1726" w:rsidP="007D2801">
            <w:pPr>
              <w:rPr>
                <w:sz w:val="20"/>
                <w:szCs w:val="20"/>
                <w:lang w:val="en-US"/>
              </w:rPr>
            </w:pPr>
          </w:p>
          <w:p w14:paraId="50A99EAF" w14:textId="794D9208" w:rsidR="00EF517C" w:rsidRPr="00B66AB0" w:rsidRDefault="007D2801" w:rsidP="007D2801">
            <w:pPr>
              <w:rPr>
                <w:sz w:val="20"/>
                <w:szCs w:val="20"/>
                <w:lang w:val="en-US"/>
              </w:rPr>
            </w:pPr>
            <w:r w:rsidRPr="00B66AB0">
              <w:rPr>
                <w:sz w:val="20"/>
                <w:szCs w:val="20"/>
                <w:lang w:val="en-US"/>
              </w:rPr>
              <w:t xml:space="preserve">Here in the ACT, we urge attention to the recommendations of the ACT Assembly Inquiry on disability employment which remain relevant and respond to issues also raised by the Commission.  </w:t>
            </w:r>
          </w:p>
        </w:tc>
        <w:tc>
          <w:tcPr>
            <w:tcW w:w="9072" w:type="dxa"/>
          </w:tcPr>
          <w:p w14:paraId="2EA1F7CA" w14:textId="6E41E17B" w:rsidR="002C50E2" w:rsidRPr="00EA1726" w:rsidRDefault="002C50E2">
            <w:pPr>
              <w:rPr>
                <w:i/>
                <w:sz w:val="20"/>
                <w:szCs w:val="20"/>
                <w:lang w:val="en-US"/>
              </w:rPr>
            </w:pPr>
            <w:r w:rsidRPr="00EA1726">
              <w:rPr>
                <w:i/>
                <w:sz w:val="20"/>
                <w:szCs w:val="20"/>
                <w:lang w:val="en-US"/>
              </w:rPr>
              <w:t>Commonwealth</w:t>
            </w:r>
          </w:p>
          <w:p w14:paraId="5F90681F" w14:textId="140ADE33" w:rsidR="00EA1F6D" w:rsidRDefault="00B9487C" w:rsidP="00636991">
            <w:pPr>
              <w:rPr>
                <w:sz w:val="20"/>
                <w:szCs w:val="20"/>
              </w:rPr>
            </w:pPr>
            <w:r w:rsidRPr="2466FD73">
              <w:rPr>
                <w:sz w:val="20"/>
                <w:szCs w:val="20"/>
              </w:rPr>
              <w:t xml:space="preserve">The </w:t>
            </w:r>
            <w:r w:rsidR="00EA1726">
              <w:rPr>
                <w:sz w:val="20"/>
                <w:szCs w:val="20"/>
              </w:rPr>
              <w:t>C</w:t>
            </w:r>
            <w:r w:rsidR="00636991" w:rsidRPr="2466FD73">
              <w:rPr>
                <w:sz w:val="20"/>
                <w:szCs w:val="20"/>
              </w:rPr>
              <w:t>ommonwealth</w:t>
            </w:r>
            <w:r w:rsidRPr="2466FD73">
              <w:rPr>
                <w:sz w:val="20"/>
                <w:szCs w:val="20"/>
              </w:rPr>
              <w:t xml:space="preserve"> has </w:t>
            </w:r>
            <w:r w:rsidR="00EA1F6D" w:rsidRPr="2466FD73">
              <w:rPr>
                <w:sz w:val="20"/>
                <w:szCs w:val="20"/>
              </w:rPr>
              <w:t>not accepted recommendations by the Commissioners with a disability to end segregated employmen</w:t>
            </w:r>
            <w:r w:rsidR="009D4046" w:rsidRPr="2466FD73">
              <w:rPr>
                <w:sz w:val="20"/>
                <w:szCs w:val="20"/>
              </w:rPr>
              <w:t>t</w:t>
            </w:r>
            <w:r w:rsidR="00EA1F6D" w:rsidRPr="2466FD73">
              <w:rPr>
                <w:sz w:val="20"/>
                <w:szCs w:val="20"/>
              </w:rPr>
              <w:t xml:space="preserve">.  </w:t>
            </w:r>
          </w:p>
          <w:p w14:paraId="2AA32D0F" w14:textId="0065B98C" w:rsidR="009D4046" w:rsidRPr="00D150DA" w:rsidRDefault="009D4046" w:rsidP="009D4046">
            <w:pPr>
              <w:rPr>
                <w:i/>
                <w:iCs/>
                <w:sz w:val="20"/>
                <w:szCs w:val="20"/>
                <w:lang w:val="en-US"/>
              </w:rPr>
            </w:pPr>
            <w:r>
              <w:rPr>
                <w:sz w:val="20"/>
                <w:szCs w:val="20"/>
                <w:lang w:val="en-US"/>
              </w:rPr>
              <w:t>The Government has also not accepted recommendations to raise subminimum wages for people in ADE’s s</w:t>
            </w:r>
            <w:r w:rsidR="00A952DB">
              <w:rPr>
                <w:sz w:val="20"/>
                <w:szCs w:val="20"/>
                <w:lang w:val="en-US"/>
              </w:rPr>
              <w:t>tating</w:t>
            </w:r>
            <w:r>
              <w:rPr>
                <w:sz w:val="20"/>
                <w:szCs w:val="20"/>
                <w:lang w:val="en-US"/>
              </w:rPr>
              <w:t xml:space="preserve">: </w:t>
            </w:r>
            <w:r w:rsidR="009F2827">
              <w:rPr>
                <w:sz w:val="20"/>
                <w:szCs w:val="20"/>
                <w:lang w:val="en-US"/>
              </w:rPr>
              <w:t>‘</w:t>
            </w:r>
            <w:r w:rsidRPr="009F2827">
              <w:rPr>
                <w:sz w:val="20"/>
                <w:szCs w:val="20"/>
                <w:lang w:val="en-US"/>
              </w:rPr>
              <w:t>The Australian Government requires further consultation with a range of stakeholders before committing to broad reform for supported employee wages. The Disability Royal Commission commissioned research and modelling into the impacts and costs of the proposed wage increase, with modelling indicating there could be significant job losses for people with disability being paid supported wages</w:t>
            </w:r>
            <w:r w:rsidR="009F2827">
              <w:rPr>
                <w:sz w:val="20"/>
                <w:szCs w:val="20"/>
                <w:lang w:val="en-US"/>
              </w:rPr>
              <w:t>.’</w:t>
            </w:r>
          </w:p>
          <w:p w14:paraId="476F569B" w14:textId="77777777" w:rsidR="00EA1F6D" w:rsidRDefault="00EA1F6D" w:rsidP="00636991">
            <w:pPr>
              <w:rPr>
                <w:sz w:val="20"/>
                <w:szCs w:val="20"/>
                <w:lang w:val="en-US"/>
              </w:rPr>
            </w:pPr>
          </w:p>
          <w:p w14:paraId="003BDAD9" w14:textId="77777777" w:rsidR="00C5760D" w:rsidRDefault="00280BB6" w:rsidP="00636991">
            <w:pPr>
              <w:rPr>
                <w:sz w:val="20"/>
                <w:szCs w:val="20"/>
                <w:lang w:val="en-US"/>
              </w:rPr>
            </w:pPr>
            <w:r>
              <w:rPr>
                <w:sz w:val="20"/>
                <w:szCs w:val="20"/>
                <w:lang w:val="en-US"/>
              </w:rPr>
              <w:t xml:space="preserve">It has however </w:t>
            </w:r>
            <w:r w:rsidR="00B9487C">
              <w:rPr>
                <w:sz w:val="20"/>
                <w:szCs w:val="20"/>
                <w:lang w:val="en-US"/>
              </w:rPr>
              <w:t xml:space="preserve">accepted a </w:t>
            </w:r>
            <w:r w:rsidR="00636991">
              <w:rPr>
                <w:sz w:val="20"/>
                <w:szCs w:val="20"/>
                <w:lang w:val="en-US"/>
              </w:rPr>
              <w:t>recommendation</w:t>
            </w:r>
            <w:r w:rsidR="00B9487C">
              <w:rPr>
                <w:sz w:val="20"/>
                <w:szCs w:val="20"/>
                <w:lang w:val="en-US"/>
              </w:rPr>
              <w:t xml:space="preserve"> to lower the threshold at which people can access the new employment services program </w:t>
            </w:r>
            <w:r w:rsidR="00636991">
              <w:rPr>
                <w:sz w:val="20"/>
                <w:szCs w:val="20"/>
                <w:lang w:val="en-US"/>
              </w:rPr>
              <w:t>(previously 8 hours a week)</w:t>
            </w:r>
            <w:r w:rsidR="00121780">
              <w:rPr>
                <w:sz w:val="20"/>
                <w:szCs w:val="20"/>
                <w:lang w:val="en-US"/>
              </w:rPr>
              <w:t xml:space="preserve">. It has also accepted a recommendation on the training of employment services staff.  </w:t>
            </w:r>
            <w:r w:rsidR="00F6791F">
              <w:rPr>
                <w:sz w:val="20"/>
                <w:szCs w:val="20"/>
                <w:lang w:val="en-US"/>
              </w:rPr>
              <w:t xml:space="preserve">It has only accepted ‘in principle’ </w:t>
            </w:r>
            <w:proofErr w:type="spellStart"/>
            <w:r w:rsidR="00F6791F">
              <w:rPr>
                <w:sz w:val="20"/>
                <w:szCs w:val="20"/>
                <w:lang w:val="en-US"/>
              </w:rPr>
              <w:t>reccs</w:t>
            </w:r>
            <w:proofErr w:type="spellEnd"/>
            <w:r w:rsidR="00F6791F">
              <w:rPr>
                <w:sz w:val="20"/>
                <w:szCs w:val="20"/>
                <w:lang w:val="en-US"/>
              </w:rPr>
              <w:t xml:space="preserve"> around procurement and public sector employment.  </w:t>
            </w:r>
            <w:r w:rsidR="003B1C75">
              <w:rPr>
                <w:sz w:val="20"/>
                <w:szCs w:val="20"/>
                <w:lang w:val="en-US"/>
              </w:rPr>
              <w:t xml:space="preserve">It has also only accepted in principle </w:t>
            </w:r>
            <w:r w:rsidR="00F130EF">
              <w:rPr>
                <w:sz w:val="20"/>
                <w:szCs w:val="20"/>
                <w:lang w:val="en-US"/>
              </w:rPr>
              <w:t>recommendations</w:t>
            </w:r>
            <w:r w:rsidR="003B1C75">
              <w:rPr>
                <w:sz w:val="20"/>
                <w:szCs w:val="20"/>
                <w:lang w:val="en-US"/>
              </w:rPr>
              <w:t xml:space="preserve"> which would have increased protections under the DDA and the Fair Work Act. </w:t>
            </w:r>
          </w:p>
          <w:p w14:paraId="55B51E5C" w14:textId="3C32B44E" w:rsidR="002C50E2" w:rsidRDefault="003B1C75" w:rsidP="00636991">
            <w:pPr>
              <w:rPr>
                <w:sz w:val="20"/>
                <w:szCs w:val="20"/>
                <w:lang w:val="en-US"/>
              </w:rPr>
            </w:pPr>
            <w:r>
              <w:rPr>
                <w:sz w:val="20"/>
                <w:szCs w:val="20"/>
                <w:lang w:val="en-US"/>
              </w:rPr>
              <w:t xml:space="preserve"> </w:t>
            </w:r>
          </w:p>
          <w:p w14:paraId="15CC742C" w14:textId="070093CC" w:rsidR="001470B0" w:rsidRDefault="00FF553C" w:rsidP="009D4046">
            <w:pPr>
              <w:rPr>
                <w:sz w:val="20"/>
                <w:szCs w:val="20"/>
                <w:lang w:val="en-US"/>
              </w:rPr>
            </w:pPr>
            <w:r>
              <w:rPr>
                <w:sz w:val="20"/>
                <w:szCs w:val="20"/>
                <w:lang w:val="en-US"/>
              </w:rPr>
              <w:t>It has accepted a stronger referral pathway to the Fair work Ombudsman</w:t>
            </w:r>
            <w:r w:rsidR="00003918">
              <w:rPr>
                <w:sz w:val="20"/>
                <w:szCs w:val="20"/>
                <w:lang w:val="en-US"/>
              </w:rPr>
              <w:t xml:space="preserve"> </w:t>
            </w:r>
            <w:r w:rsidR="00EF02A7">
              <w:rPr>
                <w:b/>
                <w:bCs/>
                <w:sz w:val="20"/>
                <w:szCs w:val="20"/>
                <w:lang w:val="en-US"/>
              </w:rPr>
              <w:t xml:space="preserve">(Rec 7.27) </w:t>
            </w:r>
            <w:r w:rsidR="00003918">
              <w:rPr>
                <w:sz w:val="20"/>
                <w:szCs w:val="20"/>
                <w:lang w:val="en-US"/>
              </w:rPr>
              <w:t xml:space="preserve">and </w:t>
            </w:r>
            <w:r w:rsidR="00C5760D">
              <w:rPr>
                <w:b/>
                <w:bCs/>
                <w:sz w:val="20"/>
                <w:szCs w:val="20"/>
                <w:lang w:val="en-US"/>
              </w:rPr>
              <w:t>Rec 7.28</w:t>
            </w:r>
            <w:r w:rsidR="00003918">
              <w:rPr>
                <w:sz w:val="20"/>
                <w:szCs w:val="20"/>
                <w:lang w:val="en-US"/>
              </w:rPr>
              <w:t xml:space="preserve"> about improved information about wages and conditions in ADE’s.  </w:t>
            </w:r>
          </w:p>
          <w:p w14:paraId="1A0D9A80" w14:textId="77777777" w:rsidR="00DD5CE2" w:rsidRDefault="00DD5CE2" w:rsidP="009D4046">
            <w:pPr>
              <w:rPr>
                <w:i/>
                <w:iCs/>
                <w:sz w:val="20"/>
                <w:szCs w:val="20"/>
                <w:lang w:val="en-US"/>
              </w:rPr>
            </w:pPr>
          </w:p>
          <w:p w14:paraId="1AA6204A" w14:textId="57A7AF75" w:rsidR="00DD5CE2" w:rsidRDefault="00733308" w:rsidP="009D4046">
            <w:pPr>
              <w:rPr>
                <w:sz w:val="20"/>
                <w:szCs w:val="20"/>
                <w:lang w:val="en-US"/>
              </w:rPr>
            </w:pPr>
            <w:r>
              <w:rPr>
                <w:sz w:val="20"/>
                <w:szCs w:val="20"/>
                <w:lang w:val="en-US"/>
              </w:rPr>
              <w:t>Reference to the</w:t>
            </w:r>
            <w:r w:rsidR="00DD5CE2">
              <w:rPr>
                <w:sz w:val="20"/>
                <w:szCs w:val="20"/>
                <w:lang w:val="en-US"/>
              </w:rPr>
              <w:t xml:space="preserve"> </w:t>
            </w:r>
            <w:r w:rsidR="00DD5CE2" w:rsidRPr="009B3DF0">
              <w:rPr>
                <w:sz w:val="20"/>
                <w:szCs w:val="20"/>
                <w:lang w:val="en-US"/>
              </w:rPr>
              <w:t>$</w:t>
            </w:r>
            <w:r w:rsidR="00DD5CE2">
              <w:rPr>
                <w:sz w:val="20"/>
                <w:szCs w:val="20"/>
                <w:lang w:val="en-US"/>
              </w:rPr>
              <w:t xml:space="preserve">23.3 million to establish a Disability Employment Centre of Excellence and </w:t>
            </w:r>
            <w:r w:rsidR="00DD5CE2" w:rsidRPr="009B3DF0">
              <w:rPr>
                <w:sz w:val="20"/>
                <w:szCs w:val="20"/>
                <w:lang w:val="en-US"/>
              </w:rPr>
              <w:t>$</w:t>
            </w:r>
            <w:r w:rsidR="00DD5CE2">
              <w:rPr>
                <w:sz w:val="20"/>
                <w:szCs w:val="20"/>
                <w:lang w:val="en-US"/>
              </w:rPr>
              <w:t>227.6 million to implement a new specialist disability employment program</w:t>
            </w:r>
            <w:r w:rsidR="009E1B65">
              <w:rPr>
                <w:sz w:val="20"/>
                <w:szCs w:val="20"/>
                <w:lang w:val="en-US"/>
              </w:rPr>
              <w:t xml:space="preserve"> (already announced)</w:t>
            </w:r>
            <w:r w:rsidR="00DD5CE2">
              <w:rPr>
                <w:sz w:val="20"/>
                <w:szCs w:val="20"/>
                <w:lang w:val="en-US"/>
              </w:rPr>
              <w:t xml:space="preserve">. </w:t>
            </w:r>
            <w:r w:rsidR="004B7974">
              <w:rPr>
                <w:sz w:val="20"/>
                <w:szCs w:val="20"/>
                <w:lang w:val="en-US"/>
              </w:rPr>
              <w:t xml:space="preserve">This will replace the current Disability Employment Services program. </w:t>
            </w:r>
          </w:p>
          <w:p w14:paraId="538D7520" w14:textId="77777777" w:rsidR="00EC219C" w:rsidRDefault="00EC219C" w:rsidP="009D4046">
            <w:pPr>
              <w:rPr>
                <w:sz w:val="20"/>
                <w:szCs w:val="20"/>
                <w:lang w:val="en-US"/>
              </w:rPr>
            </w:pPr>
          </w:p>
          <w:p w14:paraId="632138C8" w14:textId="22621E03" w:rsidR="00EC219C" w:rsidRPr="00645147" w:rsidRDefault="00EC219C" w:rsidP="009D4046">
            <w:pPr>
              <w:rPr>
                <w:sz w:val="20"/>
                <w:szCs w:val="20"/>
                <w:lang w:val="en-US"/>
              </w:rPr>
            </w:pPr>
            <w:r>
              <w:rPr>
                <w:sz w:val="20"/>
                <w:szCs w:val="20"/>
                <w:lang w:val="en-US"/>
              </w:rPr>
              <w:t xml:space="preserve">The </w:t>
            </w:r>
            <w:r w:rsidR="00645147">
              <w:rPr>
                <w:b/>
                <w:bCs/>
                <w:i/>
                <w:iCs/>
                <w:sz w:val="20"/>
                <w:szCs w:val="20"/>
                <w:lang w:val="en-US"/>
              </w:rPr>
              <w:t xml:space="preserve">Recommendation 7.24 Convene a Disability Employment Rights Council </w:t>
            </w:r>
            <w:r w:rsidR="00645147">
              <w:rPr>
                <w:sz w:val="20"/>
                <w:szCs w:val="20"/>
                <w:lang w:val="en-US"/>
              </w:rPr>
              <w:t>was simply ‘noted’</w:t>
            </w:r>
            <w:r w:rsidR="00E435F7">
              <w:rPr>
                <w:sz w:val="20"/>
                <w:szCs w:val="20"/>
                <w:lang w:val="en-US"/>
              </w:rPr>
              <w:t>, instead stressing the investments and work currently underway.</w:t>
            </w:r>
          </w:p>
          <w:p w14:paraId="4FD9E292" w14:textId="56002BF7" w:rsidR="003B1C75" w:rsidRDefault="0099712E" w:rsidP="00636991">
            <w:pPr>
              <w:rPr>
                <w:sz w:val="20"/>
                <w:szCs w:val="20"/>
                <w:lang w:val="en-US"/>
              </w:rPr>
            </w:pPr>
            <w:r>
              <w:rPr>
                <w:sz w:val="20"/>
                <w:szCs w:val="20"/>
                <w:lang w:val="en-US"/>
              </w:rPr>
              <w:t xml:space="preserve"> </w:t>
            </w:r>
          </w:p>
          <w:p w14:paraId="1FF14790" w14:textId="79E23EA8" w:rsidR="00FA6C6C" w:rsidRDefault="00FA6C6C" w:rsidP="00636991">
            <w:pPr>
              <w:rPr>
                <w:sz w:val="20"/>
                <w:szCs w:val="20"/>
                <w:lang w:val="en-US"/>
              </w:rPr>
            </w:pPr>
            <w:r>
              <w:rPr>
                <w:sz w:val="20"/>
                <w:szCs w:val="20"/>
                <w:lang w:val="en-US"/>
              </w:rPr>
              <w:t xml:space="preserve">A new Disability Employment Advocacy and Information Program </w:t>
            </w:r>
            <w:r w:rsidR="008D4336">
              <w:rPr>
                <w:sz w:val="20"/>
                <w:szCs w:val="20"/>
                <w:lang w:val="en-US"/>
              </w:rPr>
              <w:t xml:space="preserve">will be created to deliver information </w:t>
            </w:r>
            <w:proofErr w:type="gramStart"/>
            <w:r w:rsidR="008D4336">
              <w:rPr>
                <w:sz w:val="20"/>
                <w:szCs w:val="20"/>
                <w:lang w:val="en-US"/>
              </w:rPr>
              <w:t>supports</w:t>
            </w:r>
            <w:proofErr w:type="gramEnd"/>
            <w:r w:rsidR="008D4336">
              <w:rPr>
                <w:sz w:val="20"/>
                <w:szCs w:val="20"/>
                <w:lang w:val="en-US"/>
              </w:rPr>
              <w:t xml:space="preserve"> for people with disability. </w:t>
            </w:r>
            <w:r w:rsidR="00582707">
              <w:rPr>
                <w:sz w:val="20"/>
                <w:szCs w:val="20"/>
                <w:lang w:val="en-US"/>
              </w:rPr>
              <w:t xml:space="preserve">The </w:t>
            </w:r>
            <w:r w:rsidR="00582707" w:rsidRPr="009B3DF0">
              <w:rPr>
                <w:sz w:val="20"/>
                <w:szCs w:val="20"/>
                <w:lang w:val="en-US"/>
              </w:rPr>
              <w:t>$</w:t>
            </w:r>
            <w:r w:rsidR="00582707">
              <w:rPr>
                <w:sz w:val="20"/>
                <w:szCs w:val="20"/>
                <w:lang w:val="en-US"/>
              </w:rPr>
              <w:t xml:space="preserve">9.8 million program will run until 30 June 2027 and be delivered by Inclusion Australia. </w:t>
            </w:r>
          </w:p>
          <w:p w14:paraId="6D3FF1F7" w14:textId="77777777" w:rsidR="006421E5" w:rsidRDefault="006421E5" w:rsidP="00636991">
            <w:pPr>
              <w:rPr>
                <w:sz w:val="20"/>
                <w:szCs w:val="20"/>
                <w:lang w:val="en-US"/>
              </w:rPr>
            </w:pPr>
          </w:p>
          <w:p w14:paraId="2F43285F" w14:textId="7D4FED92" w:rsidR="006421E5" w:rsidRPr="00816AFF" w:rsidRDefault="006421E5" w:rsidP="00636991">
            <w:pPr>
              <w:rPr>
                <w:sz w:val="20"/>
                <w:szCs w:val="20"/>
                <w:lang w:val="en-US"/>
              </w:rPr>
            </w:pPr>
            <w:r>
              <w:rPr>
                <w:b/>
                <w:bCs/>
                <w:sz w:val="20"/>
                <w:szCs w:val="20"/>
                <w:lang w:val="en-US"/>
              </w:rPr>
              <w:t xml:space="preserve">Recommendation 7.32 End segregated employment by 2034 </w:t>
            </w:r>
            <w:r w:rsidR="00816AFF">
              <w:rPr>
                <w:sz w:val="20"/>
                <w:szCs w:val="20"/>
                <w:lang w:val="en-US"/>
              </w:rPr>
              <w:t xml:space="preserve">is subject to further consideration. </w:t>
            </w:r>
            <w:r w:rsidR="00546D30">
              <w:rPr>
                <w:sz w:val="20"/>
                <w:szCs w:val="20"/>
                <w:lang w:val="en-US"/>
              </w:rPr>
              <w:t xml:space="preserve">The response focuses on </w:t>
            </w:r>
            <w:r w:rsidR="005A5827">
              <w:rPr>
                <w:sz w:val="20"/>
                <w:szCs w:val="20"/>
                <w:lang w:val="en-US"/>
              </w:rPr>
              <w:t xml:space="preserve">varied commissioner reviews </w:t>
            </w:r>
            <w:r w:rsidR="004852FF">
              <w:rPr>
                <w:sz w:val="20"/>
                <w:szCs w:val="20"/>
                <w:lang w:val="en-US"/>
              </w:rPr>
              <w:t>instead of offering any solid commitment.</w:t>
            </w:r>
            <w:r w:rsidR="00965A9B">
              <w:rPr>
                <w:sz w:val="20"/>
                <w:szCs w:val="20"/>
                <w:lang w:val="en-US"/>
              </w:rPr>
              <w:t xml:space="preserve"> </w:t>
            </w:r>
          </w:p>
          <w:p w14:paraId="4B67CB7D" w14:textId="77777777" w:rsidR="002C50E2" w:rsidRDefault="002C50E2">
            <w:pPr>
              <w:rPr>
                <w:sz w:val="20"/>
                <w:szCs w:val="20"/>
                <w:lang w:val="en-US"/>
              </w:rPr>
            </w:pPr>
          </w:p>
          <w:p w14:paraId="056A1F8D" w14:textId="7A11E2AF" w:rsidR="00EF517C" w:rsidRPr="00F81B75" w:rsidRDefault="00F81B75">
            <w:pPr>
              <w:rPr>
                <w:i/>
                <w:sz w:val="20"/>
                <w:szCs w:val="20"/>
                <w:lang w:val="en-US"/>
              </w:rPr>
            </w:pPr>
            <w:r>
              <w:rPr>
                <w:i/>
                <w:iCs/>
                <w:sz w:val="20"/>
                <w:szCs w:val="20"/>
                <w:lang w:val="en-US"/>
              </w:rPr>
              <w:t>ACT</w:t>
            </w:r>
          </w:p>
          <w:p w14:paraId="57CB933D" w14:textId="77777777" w:rsidR="006E4E21" w:rsidRDefault="006E4E21" w:rsidP="006E4E21">
            <w:pPr>
              <w:rPr>
                <w:sz w:val="20"/>
                <w:szCs w:val="20"/>
              </w:rPr>
            </w:pPr>
            <w:r w:rsidRPr="006E4E21">
              <w:rPr>
                <w:sz w:val="20"/>
                <w:szCs w:val="20"/>
              </w:rPr>
              <w:t xml:space="preserve">The ACT Government has responded to several employment-related recommendations from the Disability Royal Commission. </w:t>
            </w:r>
          </w:p>
          <w:p w14:paraId="3BE2BC5F" w14:textId="242FC5FF" w:rsidR="006E4E21" w:rsidRPr="006E4E21" w:rsidRDefault="006E4E21" w:rsidP="006E4E21">
            <w:pPr>
              <w:rPr>
                <w:sz w:val="20"/>
                <w:szCs w:val="20"/>
              </w:rPr>
            </w:pPr>
            <w:r w:rsidRPr="006E4E21">
              <w:rPr>
                <w:b/>
                <w:bCs/>
                <w:sz w:val="20"/>
                <w:szCs w:val="20"/>
              </w:rPr>
              <w:t>Recommendation 7.18</w:t>
            </w:r>
            <w:r w:rsidRPr="006E4E21">
              <w:rPr>
                <w:sz w:val="20"/>
                <w:szCs w:val="20"/>
              </w:rPr>
              <w:t>, which calls for establishing specific and disaggregated targets for disability employment in the public sector, the ACT Government accepts this in principle. It plans to set a target of at least 9% of ACT public servants identifying as having a disability by 2026. However, further work is required to confirm specific or disaggregated workforce targets.</w:t>
            </w:r>
          </w:p>
          <w:p w14:paraId="04614FFF" w14:textId="4BD28643" w:rsidR="006E4E21" w:rsidRPr="006E4E21" w:rsidRDefault="006E4E21" w:rsidP="006E4E21">
            <w:pPr>
              <w:rPr>
                <w:sz w:val="20"/>
                <w:szCs w:val="20"/>
              </w:rPr>
            </w:pPr>
            <w:r w:rsidRPr="006E4E21">
              <w:rPr>
                <w:b/>
                <w:bCs/>
                <w:sz w:val="20"/>
                <w:szCs w:val="20"/>
              </w:rPr>
              <w:t>Recommendation 7.19</w:t>
            </w:r>
            <w:r w:rsidRPr="006E4E21">
              <w:rPr>
                <w:sz w:val="20"/>
                <w:szCs w:val="20"/>
              </w:rPr>
              <w:t>, which suggests setting targets for new public service hires to include people with disability, aiming for at least 7% by 2025 and 9% by 2030, the response is also to accept in principle. The ACT Government has committed to general representation targets but will undertake further work before confirming these specific targets.</w:t>
            </w:r>
          </w:p>
          <w:p w14:paraId="2446A80E" w14:textId="3CBF8723" w:rsidR="006E4E21" w:rsidRPr="006E4E21" w:rsidRDefault="006E4E21" w:rsidP="006E4E21">
            <w:pPr>
              <w:rPr>
                <w:sz w:val="20"/>
                <w:szCs w:val="20"/>
              </w:rPr>
            </w:pPr>
            <w:r w:rsidRPr="006E4E21">
              <w:rPr>
                <w:b/>
                <w:bCs/>
                <w:sz w:val="20"/>
                <w:szCs w:val="20"/>
              </w:rPr>
              <w:t>Recommendation 7.21</w:t>
            </w:r>
            <w:r w:rsidRPr="006E4E21">
              <w:rPr>
                <w:sz w:val="20"/>
                <w:szCs w:val="20"/>
              </w:rPr>
              <w:t>, which proposes the introduction of consistent adjustment principles and adjustment passports, the ACT Government accepts in principle. The ACT Public Service (</w:t>
            </w:r>
            <w:proofErr w:type="spellStart"/>
            <w:r w:rsidRPr="006E4E21">
              <w:rPr>
                <w:sz w:val="20"/>
                <w:szCs w:val="20"/>
              </w:rPr>
              <w:t>ACTPS</w:t>
            </w:r>
            <w:proofErr w:type="spellEnd"/>
            <w:r w:rsidRPr="006E4E21">
              <w:rPr>
                <w:sz w:val="20"/>
                <w:szCs w:val="20"/>
              </w:rPr>
              <w:t xml:space="preserve">) will continue to uphold existing policies on workplace adjustments and will review any new principles developed by the Australian Public Service Commission for implementation in the </w:t>
            </w:r>
            <w:proofErr w:type="spellStart"/>
            <w:r w:rsidRPr="006E4E21">
              <w:rPr>
                <w:sz w:val="20"/>
                <w:szCs w:val="20"/>
              </w:rPr>
              <w:t>ACTPS</w:t>
            </w:r>
            <w:proofErr w:type="spellEnd"/>
            <w:r w:rsidRPr="006E4E21">
              <w:rPr>
                <w:sz w:val="20"/>
                <w:szCs w:val="20"/>
              </w:rPr>
              <w:t xml:space="preserve"> context.</w:t>
            </w:r>
          </w:p>
          <w:p w14:paraId="45A9E053" w14:textId="4C4882C2" w:rsidR="006E4E21" w:rsidRPr="006E4E21" w:rsidRDefault="006E4E21" w:rsidP="006E4E21">
            <w:pPr>
              <w:rPr>
                <w:sz w:val="20"/>
                <w:szCs w:val="20"/>
              </w:rPr>
            </w:pPr>
            <w:r w:rsidRPr="006E4E21">
              <w:rPr>
                <w:b/>
                <w:bCs/>
                <w:sz w:val="20"/>
                <w:szCs w:val="20"/>
              </w:rPr>
              <w:lastRenderedPageBreak/>
              <w:t>Recommendation 7.22</w:t>
            </w:r>
            <w:r w:rsidRPr="006E4E21">
              <w:rPr>
                <w:sz w:val="20"/>
                <w:szCs w:val="20"/>
              </w:rPr>
              <w:t xml:space="preserve">, which involves public reporting on public sector disability employment strategies and targets, the ACT Government accepts in principle. It already reports on workforce representation of people with disability through annual reports and the </w:t>
            </w:r>
            <w:proofErr w:type="spellStart"/>
            <w:r w:rsidRPr="006E4E21">
              <w:rPr>
                <w:sz w:val="20"/>
                <w:szCs w:val="20"/>
              </w:rPr>
              <w:t>ACTPS</w:t>
            </w:r>
            <w:proofErr w:type="spellEnd"/>
            <w:r w:rsidRPr="006E4E21">
              <w:rPr>
                <w:sz w:val="20"/>
                <w:szCs w:val="20"/>
              </w:rPr>
              <w:t xml:space="preserve"> State of the Service Report.</w:t>
            </w:r>
          </w:p>
          <w:p w14:paraId="210FB5AF" w14:textId="622F3E97" w:rsidR="006E4E21" w:rsidRPr="006E4E21" w:rsidRDefault="006E4E21" w:rsidP="006E4E21">
            <w:pPr>
              <w:rPr>
                <w:sz w:val="20"/>
                <w:szCs w:val="20"/>
              </w:rPr>
            </w:pPr>
            <w:r w:rsidRPr="006E4E21">
              <w:rPr>
                <w:b/>
                <w:bCs/>
                <w:sz w:val="20"/>
                <w:szCs w:val="20"/>
              </w:rPr>
              <w:t>Recommendation 7.23</w:t>
            </w:r>
            <w:r w:rsidRPr="006E4E21">
              <w:rPr>
                <w:sz w:val="20"/>
                <w:szCs w:val="20"/>
              </w:rPr>
              <w:t>, which aims to strengthen disability employment procurement policies, the ACT Government accepts in principle. The current Procurement Values require consideration of diversity, equality, and inclusion, and a review will be undertaken to support these values further.</w:t>
            </w:r>
          </w:p>
          <w:p w14:paraId="72B9B2C5" w14:textId="142228C8" w:rsidR="006E4E21" w:rsidRPr="006E4E21" w:rsidRDefault="006E4E21" w:rsidP="006E4E21">
            <w:pPr>
              <w:rPr>
                <w:sz w:val="20"/>
                <w:szCs w:val="20"/>
              </w:rPr>
            </w:pPr>
            <w:r w:rsidRPr="006E4E21">
              <w:rPr>
                <w:b/>
                <w:bCs/>
                <w:sz w:val="20"/>
                <w:szCs w:val="20"/>
              </w:rPr>
              <w:t>Recommendation 7.32</w:t>
            </w:r>
            <w:r w:rsidRPr="006E4E21">
              <w:rPr>
                <w:sz w:val="20"/>
                <w:szCs w:val="20"/>
              </w:rPr>
              <w:t>, which recommends ending segregated employment by 2034, the ACT Government's response is subject to further consideration. The ACT Government notes the recommendation's call for the Australian Government Department of Social Services to develop a National Inclusive Employment Roadmap and will work with the Australian Government to consider implications for the ACT</w:t>
            </w:r>
          </w:p>
          <w:p w14:paraId="16397DC3" w14:textId="205A8332" w:rsidR="00EF517C" w:rsidRPr="00B66AB0" w:rsidRDefault="00EF517C">
            <w:pPr>
              <w:rPr>
                <w:sz w:val="20"/>
                <w:szCs w:val="20"/>
                <w:lang w:val="en-US"/>
              </w:rPr>
            </w:pPr>
          </w:p>
        </w:tc>
        <w:tc>
          <w:tcPr>
            <w:tcW w:w="2410" w:type="dxa"/>
          </w:tcPr>
          <w:p w14:paraId="146CA072" w14:textId="77777777" w:rsidR="00810ECF" w:rsidRDefault="00810ECF" w:rsidP="00810ECF">
            <w:pPr>
              <w:rPr>
                <w:rFonts w:ascii="Wingdings" w:eastAsia="Wingdings" w:hAnsi="Wingdings" w:cs="Wingdings"/>
                <w:sz w:val="20"/>
                <w:szCs w:val="20"/>
                <w:lang w:val="en-US"/>
              </w:rPr>
            </w:pPr>
            <w:r w:rsidRPr="00D30816">
              <w:rPr>
                <w:color w:val="FF0000"/>
                <w:sz w:val="96"/>
                <w:szCs w:val="96"/>
                <w:lang w:val="en-US"/>
              </w:rPr>
              <w:lastRenderedPageBreak/>
              <w:sym w:font="Wingdings" w:char="F078"/>
            </w:r>
          </w:p>
          <w:p w14:paraId="369A61AE" w14:textId="1CA2D6AC" w:rsidR="00EF517C" w:rsidRPr="00B66AB0" w:rsidRDefault="00EF517C">
            <w:pPr>
              <w:rPr>
                <w:sz w:val="20"/>
                <w:szCs w:val="20"/>
                <w:lang w:val="en-US"/>
              </w:rPr>
            </w:pPr>
          </w:p>
        </w:tc>
      </w:tr>
      <w:tr w:rsidR="007578A3" w:rsidRPr="00B66AB0" w14:paraId="12835A2D" w14:textId="77777777" w:rsidTr="00973197">
        <w:tc>
          <w:tcPr>
            <w:tcW w:w="4957" w:type="dxa"/>
          </w:tcPr>
          <w:p w14:paraId="497C955B" w14:textId="77777777" w:rsidR="003E2C2C" w:rsidRPr="00B66AB0" w:rsidRDefault="003E2C2C" w:rsidP="003E2C2C">
            <w:pPr>
              <w:rPr>
                <w:b/>
                <w:bCs/>
                <w:sz w:val="20"/>
                <w:szCs w:val="20"/>
                <w:lang w:val="en-US"/>
              </w:rPr>
            </w:pPr>
            <w:bookmarkStart w:id="10" w:name="Housing"/>
            <w:r w:rsidRPr="00B66AB0">
              <w:rPr>
                <w:b/>
                <w:bCs/>
                <w:sz w:val="20"/>
                <w:szCs w:val="20"/>
                <w:lang w:val="en-US"/>
              </w:rPr>
              <w:t>Housing</w:t>
            </w:r>
            <w:bookmarkEnd w:id="10"/>
            <w:r w:rsidRPr="00B66AB0">
              <w:rPr>
                <w:b/>
                <w:bCs/>
                <w:sz w:val="20"/>
                <w:szCs w:val="20"/>
                <w:lang w:val="en-US"/>
              </w:rPr>
              <w:t xml:space="preserve"> </w:t>
            </w:r>
          </w:p>
          <w:p w14:paraId="4B7AAD8F" w14:textId="77777777" w:rsidR="003E2C2C" w:rsidRPr="00B66AB0" w:rsidRDefault="003E2C2C" w:rsidP="003E2C2C">
            <w:pPr>
              <w:rPr>
                <w:sz w:val="20"/>
                <w:szCs w:val="20"/>
                <w:lang w:val="en-US"/>
              </w:rPr>
            </w:pPr>
            <w:r w:rsidRPr="00B66AB0">
              <w:rPr>
                <w:sz w:val="20"/>
                <w:szCs w:val="20"/>
                <w:lang w:val="en-US"/>
              </w:rPr>
              <w:t xml:space="preserve">The Commission recommends that states and territories should immediately adopt the mandatory Australian Building Codes Board </w:t>
            </w:r>
            <w:proofErr w:type="spellStart"/>
            <w:r w:rsidRPr="00B66AB0">
              <w:rPr>
                <w:sz w:val="20"/>
                <w:szCs w:val="20"/>
                <w:lang w:val="en-US"/>
              </w:rPr>
              <w:t>Liveable</w:t>
            </w:r>
            <w:proofErr w:type="spellEnd"/>
            <w:r w:rsidRPr="00B66AB0">
              <w:rPr>
                <w:sz w:val="20"/>
                <w:szCs w:val="20"/>
                <w:lang w:val="en-US"/>
              </w:rPr>
              <w:t xml:space="preserve"> Housing Design Standard for all new dwellings as well as respond to the additional need for crisis housing. In addition, they recommend increased tenancy and occupancy protections for people with disabilities and minimum service standards monitoring and oversight in supported residential services.</w:t>
            </w:r>
          </w:p>
          <w:p w14:paraId="4542DBE5" w14:textId="77777777" w:rsidR="00F67EC4" w:rsidRDefault="00F67EC4" w:rsidP="003E2C2C">
            <w:pPr>
              <w:rPr>
                <w:sz w:val="20"/>
                <w:szCs w:val="20"/>
                <w:lang w:val="en-US"/>
              </w:rPr>
            </w:pPr>
          </w:p>
          <w:p w14:paraId="3C611733" w14:textId="604B5683" w:rsidR="003E2C2C" w:rsidRPr="00B66AB0" w:rsidRDefault="003E2C2C" w:rsidP="003E2C2C">
            <w:pPr>
              <w:rPr>
                <w:b/>
                <w:bCs/>
                <w:sz w:val="20"/>
                <w:szCs w:val="20"/>
                <w:lang w:val="en-US"/>
              </w:rPr>
            </w:pPr>
            <w:proofErr w:type="gramStart"/>
            <w:r w:rsidRPr="00B66AB0">
              <w:rPr>
                <w:sz w:val="20"/>
                <w:szCs w:val="20"/>
                <w:lang w:val="en-US"/>
              </w:rPr>
              <w:t>A majority of</w:t>
            </w:r>
            <w:proofErr w:type="gramEnd"/>
            <w:r w:rsidRPr="00B66AB0">
              <w:rPr>
                <w:sz w:val="20"/>
                <w:szCs w:val="20"/>
                <w:lang w:val="en-US"/>
              </w:rPr>
              <w:t xml:space="preserve"> the commissioners including the commissioners with disability recommended the Australian government and the state and territory governments develop and implement a comprehensive roadmap to phase-out group homes within the next 15 years.</w:t>
            </w:r>
            <w:r w:rsidRPr="00B66AB0">
              <w:rPr>
                <w:b/>
                <w:bCs/>
                <w:sz w:val="20"/>
                <w:szCs w:val="20"/>
                <w:lang w:val="en-US"/>
              </w:rPr>
              <w:t xml:space="preserve">  </w:t>
            </w:r>
          </w:p>
          <w:p w14:paraId="4065D184" w14:textId="77777777" w:rsidR="008577C2" w:rsidRPr="00B66AB0" w:rsidRDefault="008577C2" w:rsidP="003E2C2C">
            <w:pPr>
              <w:rPr>
                <w:b/>
                <w:bCs/>
                <w:sz w:val="20"/>
                <w:szCs w:val="20"/>
                <w:lang w:val="en-US"/>
              </w:rPr>
            </w:pPr>
          </w:p>
          <w:p w14:paraId="77B3F8B8" w14:textId="77777777" w:rsidR="008577C2" w:rsidRPr="00B66AB0" w:rsidRDefault="008577C2" w:rsidP="003E2C2C">
            <w:pPr>
              <w:rPr>
                <w:b/>
                <w:bCs/>
                <w:sz w:val="20"/>
                <w:szCs w:val="20"/>
                <w:lang w:val="en-US"/>
              </w:rPr>
            </w:pPr>
          </w:p>
          <w:p w14:paraId="5D85C540" w14:textId="77777777" w:rsidR="008577C2" w:rsidRPr="00B66AB0" w:rsidRDefault="008577C2" w:rsidP="003E2C2C">
            <w:pPr>
              <w:rPr>
                <w:b/>
                <w:bCs/>
                <w:sz w:val="20"/>
                <w:szCs w:val="20"/>
                <w:lang w:val="en-US"/>
              </w:rPr>
            </w:pPr>
          </w:p>
          <w:p w14:paraId="74BD83C5" w14:textId="77777777" w:rsidR="008577C2" w:rsidRPr="00B66AB0" w:rsidRDefault="008577C2" w:rsidP="003E2C2C">
            <w:pPr>
              <w:rPr>
                <w:b/>
                <w:bCs/>
                <w:sz w:val="20"/>
                <w:szCs w:val="20"/>
                <w:lang w:val="en-US"/>
              </w:rPr>
            </w:pPr>
          </w:p>
          <w:p w14:paraId="19EBB729" w14:textId="77777777" w:rsidR="008577C2" w:rsidRPr="00B66AB0" w:rsidRDefault="008577C2" w:rsidP="003E2C2C">
            <w:pPr>
              <w:rPr>
                <w:b/>
                <w:bCs/>
                <w:sz w:val="20"/>
                <w:szCs w:val="20"/>
                <w:lang w:val="en-US"/>
              </w:rPr>
            </w:pPr>
          </w:p>
          <w:p w14:paraId="269B9066" w14:textId="77777777" w:rsidR="008577C2" w:rsidRPr="00B66AB0" w:rsidRDefault="008577C2" w:rsidP="003E2C2C">
            <w:pPr>
              <w:rPr>
                <w:b/>
                <w:bCs/>
                <w:sz w:val="20"/>
                <w:szCs w:val="20"/>
                <w:lang w:val="en-US"/>
              </w:rPr>
            </w:pPr>
          </w:p>
          <w:p w14:paraId="3AFBC2F6" w14:textId="77777777" w:rsidR="008577C2" w:rsidRPr="00B66AB0" w:rsidRDefault="008577C2" w:rsidP="003E2C2C">
            <w:pPr>
              <w:rPr>
                <w:b/>
                <w:bCs/>
                <w:sz w:val="20"/>
                <w:szCs w:val="20"/>
                <w:lang w:val="en-US"/>
              </w:rPr>
            </w:pPr>
          </w:p>
          <w:p w14:paraId="49338FED" w14:textId="77777777" w:rsidR="008577C2" w:rsidRPr="00B66AB0" w:rsidRDefault="008577C2" w:rsidP="003E2C2C">
            <w:pPr>
              <w:rPr>
                <w:b/>
                <w:bCs/>
                <w:sz w:val="20"/>
                <w:szCs w:val="20"/>
                <w:lang w:val="en-US"/>
              </w:rPr>
            </w:pPr>
          </w:p>
          <w:p w14:paraId="648D99A2" w14:textId="77777777" w:rsidR="008577C2" w:rsidRPr="00B66AB0" w:rsidRDefault="008577C2" w:rsidP="003E2C2C">
            <w:pPr>
              <w:rPr>
                <w:b/>
                <w:bCs/>
                <w:sz w:val="20"/>
                <w:szCs w:val="20"/>
                <w:lang w:val="en-US"/>
              </w:rPr>
            </w:pPr>
          </w:p>
          <w:p w14:paraId="22296F13" w14:textId="77777777" w:rsidR="008577C2" w:rsidRPr="00B66AB0" w:rsidRDefault="008577C2" w:rsidP="003E2C2C">
            <w:pPr>
              <w:rPr>
                <w:b/>
                <w:bCs/>
                <w:sz w:val="20"/>
                <w:szCs w:val="20"/>
                <w:lang w:val="en-US"/>
              </w:rPr>
            </w:pPr>
          </w:p>
          <w:p w14:paraId="7A1291C0" w14:textId="77777777" w:rsidR="008577C2" w:rsidRPr="00B66AB0" w:rsidRDefault="008577C2" w:rsidP="003E2C2C">
            <w:pPr>
              <w:rPr>
                <w:b/>
                <w:bCs/>
                <w:sz w:val="20"/>
                <w:szCs w:val="20"/>
                <w:lang w:val="en-US"/>
              </w:rPr>
            </w:pPr>
          </w:p>
          <w:p w14:paraId="689BD3A1" w14:textId="77777777" w:rsidR="008577C2" w:rsidRPr="00B66AB0" w:rsidRDefault="008577C2" w:rsidP="003E2C2C">
            <w:pPr>
              <w:rPr>
                <w:b/>
                <w:bCs/>
                <w:sz w:val="20"/>
                <w:szCs w:val="20"/>
                <w:lang w:val="en-US"/>
              </w:rPr>
            </w:pPr>
          </w:p>
          <w:p w14:paraId="0FD4F8E8" w14:textId="77777777" w:rsidR="008577C2" w:rsidRPr="00B66AB0" w:rsidRDefault="008577C2" w:rsidP="003E2C2C">
            <w:pPr>
              <w:rPr>
                <w:b/>
                <w:bCs/>
                <w:sz w:val="20"/>
                <w:szCs w:val="20"/>
                <w:lang w:val="en-US"/>
              </w:rPr>
            </w:pPr>
          </w:p>
          <w:p w14:paraId="3721C581" w14:textId="77777777" w:rsidR="008577C2" w:rsidRPr="00B66AB0" w:rsidRDefault="008577C2" w:rsidP="003E2C2C">
            <w:pPr>
              <w:rPr>
                <w:b/>
                <w:bCs/>
                <w:sz w:val="20"/>
                <w:szCs w:val="20"/>
                <w:lang w:val="en-US"/>
              </w:rPr>
            </w:pPr>
          </w:p>
          <w:p w14:paraId="6F22B3C0" w14:textId="77777777" w:rsidR="008577C2" w:rsidRPr="00B66AB0" w:rsidRDefault="008577C2" w:rsidP="003E2C2C">
            <w:pPr>
              <w:rPr>
                <w:b/>
                <w:bCs/>
                <w:sz w:val="20"/>
                <w:szCs w:val="20"/>
                <w:lang w:val="en-US"/>
              </w:rPr>
            </w:pPr>
          </w:p>
          <w:p w14:paraId="185DD146" w14:textId="77777777" w:rsidR="008577C2" w:rsidRPr="00B66AB0" w:rsidRDefault="008577C2" w:rsidP="003E2C2C">
            <w:pPr>
              <w:rPr>
                <w:b/>
                <w:bCs/>
                <w:sz w:val="20"/>
                <w:szCs w:val="20"/>
                <w:lang w:val="en-US"/>
              </w:rPr>
            </w:pPr>
          </w:p>
          <w:p w14:paraId="36DA88A7" w14:textId="77777777" w:rsidR="008577C2" w:rsidRPr="00B66AB0" w:rsidRDefault="008577C2" w:rsidP="003E2C2C">
            <w:pPr>
              <w:rPr>
                <w:b/>
                <w:bCs/>
                <w:sz w:val="20"/>
                <w:szCs w:val="20"/>
                <w:lang w:val="en-US"/>
              </w:rPr>
            </w:pPr>
          </w:p>
          <w:p w14:paraId="776191EC" w14:textId="77777777" w:rsidR="008577C2" w:rsidRPr="00B66AB0" w:rsidRDefault="008577C2" w:rsidP="003E2C2C">
            <w:pPr>
              <w:rPr>
                <w:b/>
                <w:bCs/>
                <w:sz w:val="20"/>
                <w:szCs w:val="20"/>
                <w:lang w:val="en-US"/>
              </w:rPr>
            </w:pPr>
          </w:p>
          <w:p w14:paraId="07F27089" w14:textId="4B6F91F5" w:rsidR="00EF517C" w:rsidRPr="00B66AB0" w:rsidRDefault="003E2C2C" w:rsidP="003E2C2C">
            <w:pPr>
              <w:rPr>
                <w:b/>
                <w:bCs/>
                <w:sz w:val="20"/>
                <w:szCs w:val="20"/>
                <w:lang w:val="en-US"/>
              </w:rPr>
            </w:pPr>
            <w:r w:rsidRPr="00B66AB0">
              <w:rPr>
                <w:b/>
                <w:bCs/>
                <w:sz w:val="20"/>
                <w:szCs w:val="20"/>
                <w:lang w:val="en-US"/>
              </w:rPr>
              <w:t xml:space="preserve"> </w:t>
            </w:r>
          </w:p>
        </w:tc>
        <w:tc>
          <w:tcPr>
            <w:tcW w:w="5386" w:type="dxa"/>
          </w:tcPr>
          <w:p w14:paraId="30C6A755" w14:textId="77777777" w:rsidR="003B62B3" w:rsidRDefault="003B62B3" w:rsidP="008577C2">
            <w:pPr>
              <w:rPr>
                <w:sz w:val="20"/>
                <w:szCs w:val="20"/>
                <w:lang w:val="en-US"/>
              </w:rPr>
            </w:pPr>
          </w:p>
          <w:p w14:paraId="758A044A" w14:textId="322AD8A9" w:rsidR="008577C2" w:rsidRPr="00B66AB0" w:rsidRDefault="008577C2" w:rsidP="008577C2">
            <w:pPr>
              <w:rPr>
                <w:sz w:val="20"/>
                <w:szCs w:val="20"/>
                <w:lang w:val="en-US"/>
              </w:rPr>
            </w:pPr>
            <w:r w:rsidRPr="00B66AB0">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C6415A">
              <w:rPr>
                <w:sz w:val="20"/>
                <w:szCs w:val="20"/>
                <w:lang w:val="en-US"/>
              </w:rPr>
              <w:t xml:space="preserve"> </w:t>
            </w:r>
            <w:r w:rsidRPr="00B66AB0">
              <w:rPr>
                <w:sz w:val="20"/>
                <w:szCs w:val="20"/>
                <w:lang w:val="en-US"/>
              </w:rPr>
              <w:t>signal our support for increased funding for accessible and affordable public and community housing.  We also support changes to SDA funding to ensure it does not preference group housing arrangements.</w:t>
            </w:r>
          </w:p>
          <w:p w14:paraId="328799F7" w14:textId="77777777" w:rsidR="001B11F7" w:rsidRDefault="001B11F7" w:rsidP="008577C2">
            <w:pPr>
              <w:rPr>
                <w:sz w:val="20"/>
                <w:szCs w:val="20"/>
                <w:lang w:val="en-US"/>
              </w:rPr>
            </w:pPr>
          </w:p>
          <w:p w14:paraId="7AD3F0A3" w14:textId="3BBBE687" w:rsidR="00EF517C" w:rsidRPr="00B66AB0" w:rsidRDefault="008577C2" w:rsidP="008577C2">
            <w:pPr>
              <w:rPr>
                <w:sz w:val="20"/>
                <w:szCs w:val="20"/>
                <w:lang w:val="en-US"/>
              </w:rPr>
            </w:pPr>
            <w:r w:rsidRPr="00B66AB0">
              <w:rPr>
                <w:sz w:val="20"/>
                <w:szCs w:val="20"/>
                <w:lang w:val="en-US"/>
              </w:rPr>
              <w:t xml:space="preserve">Here in the ACT, we urge early adoption of the </w:t>
            </w:r>
            <w:proofErr w:type="spellStart"/>
            <w:r w:rsidRPr="00B66AB0">
              <w:rPr>
                <w:sz w:val="20"/>
                <w:szCs w:val="20"/>
                <w:lang w:val="en-US"/>
              </w:rPr>
              <w:t>liveable</w:t>
            </w:r>
            <w:proofErr w:type="spellEnd"/>
            <w:r w:rsidRPr="00B66AB0">
              <w:rPr>
                <w:sz w:val="20"/>
                <w:szCs w:val="20"/>
                <w:lang w:val="en-US"/>
              </w:rPr>
              <w:t xml:space="preserve"> housing standard, more public housing at the gold standard of accessibility, improvements in non-group housing options for people with intellectual disability, planning reform to grow access and affordable housing, a package to encourage socially responsible, sector-wide leasehold application processes, growth in accessible non group community housing, market development work and greater tenancy protections</w:t>
            </w:r>
          </w:p>
        </w:tc>
        <w:tc>
          <w:tcPr>
            <w:tcW w:w="9072" w:type="dxa"/>
          </w:tcPr>
          <w:p w14:paraId="2006F2F1" w14:textId="77777777" w:rsidR="00DF3CA6" w:rsidRPr="00C85051" w:rsidRDefault="00DF3CA6">
            <w:pPr>
              <w:rPr>
                <w:i/>
                <w:sz w:val="20"/>
                <w:szCs w:val="20"/>
              </w:rPr>
            </w:pPr>
            <w:r w:rsidRPr="00C85051">
              <w:rPr>
                <w:i/>
                <w:sz w:val="20"/>
                <w:szCs w:val="20"/>
              </w:rPr>
              <w:t>Commonwealth</w:t>
            </w:r>
          </w:p>
          <w:p w14:paraId="10BAF2D1" w14:textId="24B97D5D" w:rsidR="001D29B3" w:rsidRPr="00DD3457" w:rsidRDefault="001D29B3" w:rsidP="001D29B3">
            <w:pPr>
              <w:rPr>
                <w:sz w:val="20"/>
                <w:szCs w:val="20"/>
              </w:rPr>
            </w:pPr>
            <w:r w:rsidRPr="00DD3457">
              <w:rPr>
                <w:sz w:val="20"/>
                <w:szCs w:val="20"/>
              </w:rPr>
              <w:t xml:space="preserve">It has not accepted </w:t>
            </w:r>
            <w:r w:rsidR="006D34D6">
              <w:rPr>
                <w:b/>
                <w:bCs/>
                <w:sz w:val="20"/>
                <w:szCs w:val="20"/>
              </w:rPr>
              <w:t>Recs 7.34-7.44</w:t>
            </w:r>
            <w:r w:rsidRPr="00DD3457">
              <w:rPr>
                <w:sz w:val="20"/>
                <w:szCs w:val="20"/>
              </w:rPr>
              <w:t xml:space="preserve"> to phase out group homes saying this is subject to further consideration </w:t>
            </w:r>
          </w:p>
          <w:p w14:paraId="14EA7766" w14:textId="77777777" w:rsidR="001D29B3" w:rsidRPr="00DD3457" w:rsidRDefault="001D29B3" w:rsidP="001D29B3">
            <w:pPr>
              <w:rPr>
                <w:sz w:val="20"/>
                <w:szCs w:val="20"/>
              </w:rPr>
            </w:pPr>
          </w:p>
          <w:p w14:paraId="7FE302E9" w14:textId="4DEA13BC" w:rsidR="001D29B3" w:rsidRPr="00DD3457" w:rsidRDefault="001D29B3" w:rsidP="001D29B3">
            <w:pPr>
              <w:rPr>
                <w:sz w:val="20"/>
                <w:szCs w:val="20"/>
              </w:rPr>
            </w:pPr>
            <w:r w:rsidRPr="00DD3457">
              <w:rPr>
                <w:sz w:val="20"/>
                <w:szCs w:val="20"/>
              </w:rPr>
              <w:t xml:space="preserve">It has also said </w:t>
            </w:r>
            <w:r w:rsidR="00C60723">
              <w:rPr>
                <w:b/>
                <w:bCs/>
                <w:sz w:val="20"/>
                <w:szCs w:val="20"/>
              </w:rPr>
              <w:t>Rec 7.40</w:t>
            </w:r>
            <w:r w:rsidRPr="00DD3457">
              <w:rPr>
                <w:sz w:val="20"/>
                <w:szCs w:val="20"/>
              </w:rPr>
              <w:t xml:space="preserve"> to Address homelessness for people with disability in the National Housing and Homelessness Plan is subject to further consideration </w:t>
            </w:r>
          </w:p>
          <w:p w14:paraId="66340D10" w14:textId="77777777" w:rsidR="001D29B3" w:rsidRPr="00DD3457" w:rsidRDefault="001D29B3" w:rsidP="001D29B3">
            <w:pPr>
              <w:rPr>
                <w:sz w:val="20"/>
                <w:szCs w:val="20"/>
              </w:rPr>
            </w:pPr>
          </w:p>
          <w:p w14:paraId="0E94B13A" w14:textId="13BB56BD" w:rsidR="00DF3CA6" w:rsidRPr="00DD3457" w:rsidRDefault="00DF3CA6" w:rsidP="00DF3CA6">
            <w:pPr>
              <w:rPr>
                <w:sz w:val="20"/>
                <w:szCs w:val="20"/>
              </w:rPr>
            </w:pPr>
            <w:r w:rsidRPr="00DD3457">
              <w:rPr>
                <w:sz w:val="20"/>
                <w:szCs w:val="20"/>
              </w:rPr>
              <w:t xml:space="preserve">The Commonwealth has only accepted in principle a </w:t>
            </w:r>
            <w:r w:rsidR="00AF6F88">
              <w:rPr>
                <w:b/>
                <w:bCs/>
                <w:sz w:val="20"/>
                <w:szCs w:val="20"/>
              </w:rPr>
              <w:t>Rec 7.33</w:t>
            </w:r>
            <w:r w:rsidRPr="00DD3457">
              <w:rPr>
                <w:sz w:val="20"/>
                <w:szCs w:val="20"/>
              </w:rPr>
              <w:t xml:space="preserve"> to prioritise people with disability in key national housing and homelessness approaches like the NHA</w:t>
            </w:r>
          </w:p>
          <w:p w14:paraId="4276944D" w14:textId="77777777" w:rsidR="00DF3CA6" w:rsidRPr="00DD3457" w:rsidRDefault="00DF3CA6" w:rsidP="00DF3CA6">
            <w:pPr>
              <w:rPr>
                <w:sz w:val="20"/>
                <w:szCs w:val="20"/>
              </w:rPr>
            </w:pPr>
          </w:p>
          <w:p w14:paraId="39E3956C" w14:textId="3B464AF4" w:rsidR="00731929" w:rsidRPr="00DD3457" w:rsidRDefault="00731929" w:rsidP="00731929">
            <w:pPr>
              <w:rPr>
                <w:sz w:val="20"/>
                <w:szCs w:val="20"/>
              </w:rPr>
            </w:pPr>
            <w:r w:rsidRPr="00DD3457">
              <w:rPr>
                <w:sz w:val="20"/>
                <w:szCs w:val="20"/>
              </w:rPr>
              <w:t xml:space="preserve">It has accepted </w:t>
            </w:r>
            <w:r w:rsidR="00F22F62">
              <w:rPr>
                <w:b/>
                <w:bCs/>
                <w:sz w:val="20"/>
                <w:szCs w:val="20"/>
              </w:rPr>
              <w:t>Rec 7.34</w:t>
            </w:r>
            <w:r w:rsidRPr="00DD3457">
              <w:rPr>
                <w:sz w:val="20"/>
                <w:szCs w:val="20"/>
              </w:rPr>
              <w:t xml:space="preserve"> to Include homelessness in Australia’s Disability Strategy</w:t>
            </w:r>
            <w:r w:rsidR="00DA2756">
              <w:rPr>
                <w:sz w:val="20"/>
                <w:szCs w:val="20"/>
              </w:rPr>
              <w:t>.</w:t>
            </w:r>
            <w:r w:rsidRPr="00DD3457">
              <w:rPr>
                <w:sz w:val="20"/>
                <w:szCs w:val="20"/>
              </w:rPr>
              <w:t xml:space="preserve"> </w:t>
            </w:r>
          </w:p>
          <w:p w14:paraId="68FFA473" w14:textId="77777777" w:rsidR="00DF3CA6" w:rsidRPr="00DD3457" w:rsidRDefault="00DF3CA6">
            <w:pPr>
              <w:rPr>
                <w:sz w:val="20"/>
                <w:szCs w:val="20"/>
              </w:rPr>
            </w:pPr>
          </w:p>
          <w:p w14:paraId="7DE69C5A" w14:textId="6BE9FC1A" w:rsidR="00731929" w:rsidRPr="00DD3457" w:rsidRDefault="002A58E2" w:rsidP="002A58E2">
            <w:pPr>
              <w:rPr>
                <w:sz w:val="20"/>
                <w:szCs w:val="20"/>
              </w:rPr>
            </w:pPr>
            <w:r w:rsidRPr="00DD3457">
              <w:rPr>
                <w:sz w:val="20"/>
                <w:szCs w:val="20"/>
              </w:rPr>
              <w:t xml:space="preserve">It has only accepted in principle </w:t>
            </w:r>
            <w:r w:rsidR="00191651">
              <w:rPr>
                <w:b/>
                <w:bCs/>
                <w:sz w:val="20"/>
                <w:szCs w:val="20"/>
              </w:rPr>
              <w:t>Rec 7.39</w:t>
            </w:r>
            <w:r w:rsidRPr="00DD3457">
              <w:rPr>
                <w:sz w:val="20"/>
                <w:szCs w:val="20"/>
              </w:rPr>
              <w:t xml:space="preserve"> to preventing homelessness when people with disability transition from service or institutional settings</w:t>
            </w:r>
            <w:r w:rsidR="000650B7">
              <w:rPr>
                <w:sz w:val="20"/>
                <w:szCs w:val="20"/>
              </w:rPr>
              <w:t xml:space="preserve">. </w:t>
            </w:r>
          </w:p>
          <w:p w14:paraId="54072E23" w14:textId="0559A6B7" w:rsidR="000650B7" w:rsidRPr="00DD3457" w:rsidRDefault="000650B7" w:rsidP="002A58E2">
            <w:pPr>
              <w:rPr>
                <w:sz w:val="20"/>
                <w:szCs w:val="20"/>
              </w:rPr>
            </w:pPr>
          </w:p>
          <w:p w14:paraId="77BF0441" w14:textId="77777777" w:rsidR="00DF3CA6" w:rsidRDefault="00DF3CA6">
            <w:pPr>
              <w:rPr>
                <w:b/>
                <w:bCs/>
                <w:sz w:val="20"/>
                <w:szCs w:val="20"/>
              </w:rPr>
            </w:pPr>
          </w:p>
          <w:p w14:paraId="56E70DA4" w14:textId="545B4654" w:rsidR="00DF3CA6" w:rsidRPr="00E428A5" w:rsidRDefault="005A16F9">
            <w:pPr>
              <w:rPr>
                <w:i/>
                <w:sz w:val="20"/>
                <w:szCs w:val="20"/>
              </w:rPr>
            </w:pPr>
            <w:r w:rsidRPr="00E428A5">
              <w:rPr>
                <w:i/>
                <w:sz w:val="20"/>
                <w:szCs w:val="20"/>
              </w:rPr>
              <w:t>ACT</w:t>
            </w:r>
          </w:p>
          <w:p w14:paraId="049C6086" w14:textId="0C6F1EF3" w:rsidR="00EF517C" w:rsidRDefault="003171E3">
            <w:pPr>
              <w:rPr>
                <w:sz w:val="20"/>
                <w:szCs w:val="20"/>
              </w:rPr>
            </w:pPr>
            <w:r w:rsidRPr="003171E3">
              <w:rPr>
                <w:b/>
                <w:bCs/>
                <w:sz w:val="20"/>
                <w:szCs w:val="20"/>
              </w:rPr>
              <w:t>Recommendation 7.33 Prioritise people with disability in key national housing and homelessness approaches</w:t>
            </w:r>
            <w:r w:rsidR="009379BC">
              <w:rPr>
                <w:b/>
                <w:bCs/>
                <w:sz w:val="20"/>
                <w:szCs w:val="20"/>
              </w:rPr>
              <w:t xml:space="preserve"> – </w:t>
            </w:r>
            <w:r w:rsidR="009379BC" w:rsidRPr="00AD574D">
              <w:rPr>
                <w:sz w:val="20"/>
                <w:szCs w:val="20"/>
              </w:rPr>
              <w:t>Accept in princ</w:t>
            </w:r>
            <w:r w:rsidR="00AD574D" w:rsidRPr="00AD574D">
              <w:rPr>
                <w:sz w:val="20"/>
                <w:szCs w:val="20"/>
              </w:rPr>
              <w:t>iple</w:t>
            </w:r>
          </w:p>
          <w:p w14:paraId="622D32AA" w14:textId="6A7513BB" w:rsidR="007647BF" w:rsidRDefault="00E84BF8">
            <w:pPr>
              <w:rPr>
                <w:sz w:val="20"/>
                <w:szCs w:val="20"/>
              </w:rPr>
            </w:pPr>
            <w:r w:rsidRPr="00E84BF8">
              <w:rPr>
                <w:b/>
                <w:bCs/>
                <w:sz w:val="20"/>
                <w:szCs w:val="20"/>
              </w:rPr>
              <w:t xml:space="preserve">Recommendation 7.34 Include homelessness in </w:t>
            </w:r>
            <w:r w:rsidRPr="00FE7CFF">
              <w:rPr>
                <w:b/>
                <w:sz w:val="20"/>
                <w:szCs w:val="20"/>
              </w:rPr>
              <w:t xml:space="preserve">Australia’s Disability Strategy </w:t>
            </w:r>
            <w:r>
              <w:rPr>
                <w:sz w:val="20"/>
                <w:szCs w:val="20"/>
              </w:rPr>
              <w:t>– Accepted</w:t>
            </w:r>
          </w:p>
          <w:p w14:paraId="7844D597" w14:textId="389690A7" w:rsidR="00E84BF8" w:rsidRPr="00E84BF8" w:rsidRDefault="00F607B9">
            <w:pPr>
              <w:rPr>
                <w:sz w:val="20"/>
                <w:szCs w:val="20"/>
              </w:rPr>
            </w:pPr>
            <w:r w:rsidRPr="00FE7CFF">
              <w:rPr>
                <w:b/>
                <w:sz w:val="20"/>
                <w:szCs w:val="20"/>
              </w:rPr>
              <w:t>Recommendation 7.35 Increase the availability and supply of accessible and adaptive housing for people with disability through the National Construction Code</w:t>
            </w:r>
            <w:r w:rsidR="00FE7CFF">
              <w:rPr>
                <w:sz w:val="20"/>
                <w:szCs w:val="20"/>
              </w:rPr>
              <w:t xml:space="preserve"> - </w:t>
            </w:r>
            <w:r w:rsidR="005E0F14" w:rsidRPr="005E0F14">
              <w:rPr>
                <w:sz w:val="20"/>
                <w:szCs w:val="20"/>
              </w:rPr>
              <w:t>The ACT Government has already implemented part a) and part b) of this recommendation. The ACT Government also aims to construct social housing dwellings to a Class C adaptable, or Liveable Housing Australia gold standard where possible to increase accessibility in the portfolio.</w:t>
            </w:r>
          </w:p>
          <w:p w14:paraId="250C5372" w14:textId="6EA8A192" w:rsidR="005E0F14" w:rsidRPr="00FE7CFF" w:rsidRDefault="00AA0E11">
            <w:pPr>
              <w:rPr>
                <w:sz w:val="20"/>
                <w:szCs w:val="20"/>
              </w:rPr>
            </w:pPr>
            <w:r w:rsidRPr="00AA0E11">
              <w:rPr>
                <w:b/>
                <w:bCs/>
                <w:sz w:val="20"/>
                <w:szCs w:val="20"/>
              </w:rPr>
              <w:t>Recommendation 7.36 Improve social housing operational policy and processes</w:t>
            </w:r>
            <w:r>
              <w:rPr>
                <w:sz w:val="20"/>
                <w:szCs w:val="20"/>
              </w:rPr>
              <w:t xml:space="preserve"> </w:t>
            </w:r>
            <w:r w:rsidR="00A645F6">
              <w:rPr>
                <w:sz w:val="20"/>
                <w:szCs w:val="20"/>
              </w:rPr>
              <w:t>–</w:t>
            </w:r>
            <w:r>
              <w:rPr>
                <w:sz w:val="20"/>
                <w:szCs w:val="20"/>
              </w:rPr>
              <w:t xml:space="preserve"> </w:t>
            </w:r>
            <w:r w:rsidR="00A27E96">
              <w:rPr>
                <w:sz w:val="20"/>
                <w:szCs w:val="20"/>
              </w:rPr>
              <w:t>Ac</w:t>
            </w:r>
            <w:r w:rsidR="00A645F6">
              <w:rPr>
                <w:sz w:val="20"/>
                <w:szCs w:val="20"/>
              </w:rPr>
              <w:t>c</w:t>
            </w:r>
            <w:r w:rsidR="00A27E96">
              <w:rPr>
                <w:sz w:val="20"/>
                <w:szCs w:val="20"/>
              </w:rPr>
              <w:t>ept</w:t>
            </w:r>
          </w:p>
          <w:p w14:paraId="160F5493" w14:textId="74BA2425" w:rsidR="00A645F6" w:rsidRPr="00AA0E11" w:rsidRDefault="008B306F">
            <w:pPr>
              <w:rPr>
                <w:sz w:val="20"/>
                <w:szCs w:val="20"/>
              </w:rPr>
            </w:pPr>
            <w:r>
              <w:rPr>
                <w:sz w:val="20"/>
                <w:szCs w:val="20"/>
              </w:rPr>
              <w:t>Tenancy protections</w:t>
            </w:r>
          </w:p>
          <w:p w14:paraId="0C38D188" w14:textId="117830CF" w:rsidR="00F473F9" w:rsidRPr="003F1B42" w:rsidRDefault="00F473F9">
            <w:pPr>
              <w:rPr>
                <w:sz w:val="20"/>
                <w:szCs w:val="20"/>
              </w:rPr>
            </w:pPr>
            <w:r w:rsidRPr="00F473F9">
              <w:rPr>
                <w:b/>
                <w:bCs/>
                <w:sz w:val="20"/>
                <w:szCs w:val="20"/>
              </w:rPr>
              <w:t>Recommendation 7.39 Preventing homelessness when people with disability transition from service or institutional settings</w:t>
            </w:r>
            <w:r w:rsidR="003F1B42">
              <w:rPr>
                <w:b/>
                <w:bCs/>
                <w:sz w:val="20"/>
                <w:szCs w:val="20"/>
              </w:rPr>
              <w:t xml:space="preserve"> </w:t>
            </w:r>
            <w:r w:rsidR="001B11F7">
              <w:rPr>
                <w:b/>
                <w:bCs/>
                <w:sz w:val="20"/>
                <w:szCs w:val="20"/>
              </w:rPr>
              <w:t>-</w:t>
            </w:r>
            <w:r w:rsidR="002B7652" w:rsidRPr="002B7652">
              <w:rPr>
                <w:b/>
                <w:bCs/>
                <w:sz w:val="20"/>
                <w:szCs w:val="20"/>
              </w:rPr>
              <w:t xml:space="preserve"> </w:t>
            </w:r>
            <w:r w:rsidR="002B7652" w:rsidRPr="00554935">
              <w:rPr>
                <w:sz w:val="20"/>
                <w:szCs w:val="20"/>
              </w:rPr>
              <w:t>The ACT Government agrees with the intent of this recommendation and is committed to working with other jurisdictions to support people leaving institutional care. Detailed work is needed to ensure coordination across housing, health, the justice system, and the NDIS. This work will explore suitable implementation mechanisms for the ACT – noting national challenges regarding suitable and sufficient housing options for a range of cohorts. Canberra Health Services Homeless Persons Support Services Guideline assists health professionals to provide patients with resources, information, and linkage to support services to address issues related to homelessness.</w:t>
            </w:r>
          </w:p>
          <w:p w14:paraId="2FC39840" w14:textId="2C2A7E3A" w:rsidR="00EF517C" w:rsidRPr="003171E3" w:rsidRDefault="00EF517C">
            <w:pPr>
              <w:rPr>
                <w:b/>
                <w:sz w:val="20"/>
                <w:szCs w:val="20"/>
                <w:lang w:val="en-US"/>
              </w:rPr>
            </w:pPr>
          </w:p>
        </w:tc>
        <w:tc>
          <w:tcPr>
            <w:tcW w:w="2410" w:type="dxa"/>
          </w:tcPr>
          <w:p w14:paraId="44F508E6" w14:textId="77777777" w:rsidR="00EF517C" w:rsidRDefault="00EF517C">
            <w:pPr>
              <w:rPr>
                <w:sz w:val="20"/>
                <w:szCs w:val="20"/>
                <w:lang w:val="en-US"/>
              </w:rPr>
            </w:pPr>
          </w:p>
          <w:p w14:paraId="6FB4CD1F" w14:textId="77777777" w:rsidR="00810ECF" w:rsidRDefault="00810ECF" w:rsidP="00810ECF">
            <w:pPr>
              <w:rPr>
                <w:rFonts w:ascii="Wingdings" w:eastAsia="Wingdings" w:hAnsi="Wingdings" w:cs="Wingdings"/>
                <w:sz w:val="20"/>
                <w:szCs w:val="20"/>
                <w:lang w:val="en-US"/>
              </w:rPr>
            </w:pPr>
            <w:r w:rsidRPr="00D30816">
              <w:rPr>
                <w:color w:val="FF0000"/>
                <w:sz w:val="96"/>
                <w:szCs w:val="96"/>
                <w:lang w:val="en-US"/>
              </w:rPr>
              <w:sym w:font="Wingdings" w:char="F078"/>
            </w:r>
          </w:p>
          <w:p w14:paraId="7DB48C9D" w14:textId="0BB296F4" w:rsidR="00EF517C" w:rsidRPr="00B66AB0" w:rsidRDefault="00EE6075">
            <w:pPr>
              <w:rPr>
                <w:sz w:val="20"/>
                <w:szCs w:val="20"/>
                <w:lang w:val="en-US"/>
              </w:rPr>
            </w:pPr>
            <w:r>
              <w:rPr>
                <w:sz w:val="20"/>
                <w:szCs w:val="20"/>
                <w:lang w:val="en-US"/>
              </w:rPr>
              <w:t xml:space="preserve">These are areas where some of the </w:t>
            </w:r>
            <w:r w:rsidR="00F26241">
              <w:rPr>
                <w:sz w:val="20"/>
                <w:szCs w:val="20"/>
                <w:lang w:val="en-US"/>
              </w:rPr>
              <w:t xml:space="preserve">highest levels of abuse occur. Not good enough. </w:t>
            </w:r>
          </w:p>
        </w:tc>
      </w:tr>
      <w:tr w:rsidR="007578A3" w:rsidRPr="00B66AB0" w14:paraId="047471F2" w14:textId="77777777" w:rsidTr="00973197">
        <w:tc>
          <w:tcPr>
            <w:tcW w:w="4957" w:type="dxa"/>
          </w:tcPr>
          <w:p w14:paraId="28B7891F" w14:textId="77777777" w:rsidR="00ED7C0A" w:rsidRPr="00ED7C0A" w:rsidRDefault="00ED7C0A" w:rsidP="00ED7C0A">
            <w:pPr>
              <w:rPr>
                <w:b/>
                <w:bCs/>
                <w:sz w:val="20"/>
                <w:szCs w:val="20"/>
                <w:lang w:val="en-US"/>
              </w:rPr>
            </w:pPr>
            <w:bookmarkStart w:id="11" w:name="Justice"/>
            <w:r w:rsidRPr="00ED7C0A">
              <w:rPr>
                <w:b/>
                <w:bCs/>
                <w:sz w:val="20"/>
                <w:szCs w:val="20"/>
                <w:lang w:val="en-US"/>
              </w:rPr>
              <w:t xml:space="preserve">Justice </w:t>
            </w:r>
            <w:bookmarkEnd w:id="11"/>
            <w:r w:rsidRPr="00ED7C0A">
              <w:rPr>
                <w:b/>
                <w:bCs/>
                <w:sz w:val="20"/>
                <w:szCs w:val="20"/>
                <w:lang w:val="en-US"/>
              </w:rPr>
              <w:t xml:space="preserve"> </w:t>
            </w:r>
          </w:p>
          <w:p w14:paraId="1CC8D1D9" w14:textId="77777777" w:rsidR="00747263" w:rsidRDefault="00ED7C0A" w:rsidP="00ED7C0A">
            <w:pPr>
              <w:rPr>
                <w:sz w:val="20"/>
                <w:szCs w:val="20"/>
                <w:lang w:val="en-US"/>
              </w:rPr>
            </w:pPr>
            <w:r w:rsidRPr="00ED7C0A">
              <w:rPr>
                <w:sz w:val="20"/>
                <w:szCs w:val="20"/>
                <w:lang w:val="en-US"/>
              </w:rPr>
              <w:t xml:space="preserve">The Commission recommended the development of a human rights education and training strategy for National Preventative Mechanisms under the Optional Protocol on Torture. The Commission also recommended prohibiting solitary confinement in youth detention and better disability training within youth detention. </w:t>
            </w:r>
          </w:p>
          <w:p w14:paraId="24143E69" w14:textId="09F5263E" w:rsidR="00ED7C0A" w:rsidRPr="00ED7C0A" w:rsidRDefault="00ED7C0A" w:rsidP="00ED7C0A">
            <w:pPr>
              <w:rPr>
                <w:sz w:val="20"/>
                <w:szCs w:val="20"/>
                <w:lang w:val="en-US"/>
              </w:rPr>
            </w:pPr>
            <w:r w:rsidRPr="00ED7C0A">
              <w:rPr>
                <w:sz w:val="20"/>
                <w:szCs w:val="20"/>
                <w:lang w:val="en-US"/>
              </w:rPr>
              <w:t xml:space="preserve"> </w:t>
            </w:r>
          </w:p>
          <w:p w14:paraId="37AAF4F2" w14:textId="77777777" w:rsidR="00ED7C0A" w:rsidRPr="00ED7C0A" w:rsidRDefault="00ED7C0A" w:rsidP="00ED7C0A">
            <w:pPr>
              <w:rPr>
                <w:sz w:val="20"/>
                <w:szCs w:val="20"/>
                <w:lang w:val="en-US"/>
              </w:rPr>
            </w:pPr>
            <w:r w:rsidRPr="00ED7C0A">
              <w:rPr>
                <w:sz w:val="20"/>
                <w:szCs w:val="20"/>
                <w:lang w:val="en-US"/>
              </w:rPr>
              <w:lastRenderedPageBreak/>
              <w:t xml:space="preserve">There were </w:t>
            </w:r>
            <w:proofErr w:type="gramStart"/>
            <w:r w:rsidRPr="00ED7C0A">
              <w:rPr>
                <w:sz w:val="20"/>
                <w:szCs w:val="20"/>
                <w:lang w:val="en-US"/>
              </w:rPr>
              <w:t>a number of</w:t>
            </w:r>
            <w:proofErr w:type="gramEnd"/>
            <w:r w:rsidRPr="00ED7C0A">
              <w:rPr>
                <w:sz w:val="20"/>
                <w:szCs w:val="20"/>
                <w:lang w:val="en-US"/>
              </w:rPr>
              <w:t xml:space="preserve"> recommendations designed to prevent people being subject to indefinite detention as a result of being found unfit to be tried. They were also recommendations around the screening assessing and identification of disability in custody.  </w:t>
            </w:r>
          </w:p>
          <w:p w14:paraId="7B8CFC58" w14:textId="77777777" w:rsidR="00747263" w:rsidRPr="00ED7C0A" w:rsidRDefault="00747263" w:rsidP="00ED7C0A">
            <w:pPr>
              <w:rPr>
                <w:sz w:val="20"/>
                <w:szCs w:val="20"/>
                <w:lang w:val="en-US"/>
              </w:rPr>
            </w:pPr>
          </w:p>
          <w:p w14:paraId="3483C799" w14:textId="77777777" w:rsidR="00ED7C0A" w:rsidRPr="00ED7C0A" w:rsidRDefault="00ED7C0A" w:rsidP="00ED7C0A">
            <w:pPr>
              <w:rPr>
                <w:sz w:val="20"/>
                <w:szCs w:val="20"/>
                <w:lang w:val="en-US"/>
              </w:rPr>
            </w:pPr>
            <w:r w:rsidRPr="00ED7C0A">
              <w:rPr>
                <w:sz w:val="20"/>
                <w:szCs w:val="20"/>
                <w:lang w:val="en-US"/>
              </w:rPr>
              <w:t xml:space="preserve">The commission also recommended improvements at the NDIS and criminal justice system interface to ensure that people are funded in crisis including where interface issues cannot be resolved.  </w:t>
            </w:r>
          </w:p>
          <w:p w14:paraId="6F5879A0" w14:textId="77777777" w:rsidR="00747263" w:rsidRPr="00ED7C0A" w:rsidRDefault="00747263" w:rsidP="00ED7C0A">
            <w:pPr>
              <w:rPr>
                <w:sz w:val="20"/>
                <w:szCs w:val="20"/>
                <w:lang w:val="en-US"/>
              </w:rPr>
            </w:pPr>
          </w:p>
          <w:p w14:paraId="5A4DD7DB" w14:textId="77777777" w:rsidR="002E6928" w:rsidRDefault="00ED7C0A" w:rsidP="00ED7C0A">
            <w:pPr>
              <w:rPr>
                <w:sz w:val="20"/>
                <w:szCs w:val="20"/>
                <w:lang w:val="en-US"/>
              </w:rPr>
            </w:pPr>
            <w:r w:rsidRPr="00ED7C0A">
              <w:rPr>
                <w:sz w:val="20"/>
                <w:szCs w:val="20"/>
                <w:lang w:val="en-US"/>
              </w:rPr>
              <w:t xml:space="preserve">In </w:t>
            </w:r>
            <w:proofErr w:type="gramStart"/>
            <w:r w:rsidRPr="00ED7C0A">
              <w:rPr>
                <w:sz w:val="20"/>
                <w:szCs w:val="20"/>
                <w:lang w:val="en-US"/>
              </w:rPr>
              <w:t>addition</w:t>
            </w:r>
            <w:proofErr w:type="gramEnd"/>
            <w:r w:rsidRPr="00ED7C0A">
              <w:rPr>
                <w:sz w:val="20"/>
                <w:szCs w:val="20"/>
                <w:lang w:val="en-US"/>
              </w:rPr>
              <w:t xml:space="preserve"> there were also recommendations to improve police responses to people with disabilities and ensure Police are covered by the Disability Discrimination Act. </w:t>
            </w:r>
          </w:p>
          <w:p w14:paraId="1E8EB861" w14:textId="77777777" w:rsidR="00137B32" w:rsidRDefault="00137B32" w:rsidP="00ED7C0A">
            <w:pPr>
              <w:rPr>
                <w:sz w:val="20"/>
                <w:szCs w:val="20"/>
                <w:lang w:val="en-US"/>
              </w:rPr>
            </w:pPr>
          </w:p>
          <w:p w14:paraId="3E8D10B3" w14:textId="0334E054" w:rsidR="00ED7C0A" w:rsidRPr="00ED7C0A" w:rsidRDefault="00ED7C0A" w:rsidP="00ED7C0A">
            <w:pPr>
              <w:rPr>
                <w:sz w:val="20"/>
                <w:szCs w:val="20"/>
                <w:lang w:val="en-US"/>
              </w:rPr>
            </w:pPr>
            <w:r w:rsidRPr="00ED7C0A">
              <w:rPr>
                <w:sz w:val="20"/>
                <w:szCs w:val="20"/>
                <w:lang w:val="en-US"/>
              </w:rPr>
              <w:t xml:space="preserve">The Commission recommended streams of work by state governments to review and fund court-based diversion programs for people with cognitive disability.  </w:t>
            </w:r>
          </w:p>
          <w:p w14:paraId="7568438C" w14:textId="77777777" w:rsidR="00010383" w:rsidRDefault="00ED7C0A" w:rsidP="00ED7C0A">
            <w:pPr>
              <w:rPr>
                <w:sz w:val="20"/>
                <w:szCs w:val="20"/>
                <w:lang w:val="en-US"/>
              </w:rPr>
            </w:pPr>
            <w:r w:rsidRPr="00ED7C0A">
              <w:rPr>
                <w:sz w:val="20"/>
                <w:szCs w:val="20"/>
                <w:lang w:val="en-US"/>
              </w:rPr>
              <w:t xml:space="preserve">The Commission recommended that the ACT should develop and fund court-based diversion programs for people with </w:t>
            </w:r>
            <w:proofErr w:type="gramStart"/>
            <w:r w:rsidRPr="00ED7C0A">
              <w:rPr>
                <w:sz w:val="20"/>
                <w:szCs w:val="20"/>
                <w:lang w:val="en-US"/>
              </w:rPr>
              <w:t>disability</w:t>
            </w:r>
            <w:proofErr w:type="gramEnd"/>
            <w:r w:rsidRPr="00ED7C0A">
              <w:rPr>
                <w:sz w:val="20"/>
                <w:szCs w:val="20"/>
                <w:lang w:val="en-US"/>
              </w:rPr>
              <w:t xml:space="preserve"> charged with summary offences in local or magistrates courts. </w:t>
            </w:r>
          </w:p>
          <w:p w14:paraId="258D121D" w14:textId="77777777" w:rsidR="00010383" w:rsidRDefault="00010383" w:rsidP="00ED7C0A">
            <w:pPr>
              <w:rPr>
                <w:sz w:val="20"/>
                <w:szCs w:val="20"/>
                <w:lang w:val="en-US"/>
              </w:rPr>
            </w:pPr>
          </w:p>
          <w:p w14:paraId="2F8B0C19" w14:textId="29B23AF2" w:rsidR="00CC5857" w:rsidRPr="00010383" w:rsidRDefault="00ED7C0A" w:rsidP="00ED7C0A">
            <w:pPr>
              <w:rPr>
                <w:sz w:val="20"/>
                <w:szCs w:val="20"/>
              </w:rPr>
            </w:pPr>
            <w:r w:rsidRPr="6C590BE1">
              <w:rPr>
                <w:sz w:val="20"/>
                <w:szCs w:val="20"/>
              </w:rPr>
              <w:t>The Commission recommended raising the age of criminal responsibility to 14 and to work towards nationally consistent inclusive definitions of gender-based violence under the National Plan to End Violence against Women and Children</w:t>
            </w:r>
            <w:r w:rsidRPr="6C590BE1">
              <w:rPr>
                <w:b/>
                <w:sz w:val="20"/>
                <w:szCs w:val="20"/>
              </w:rPr>
              <w:t xml:space="preserve">.  </w:t>
            </w:r>
          </w:p>
        </w:tc>
        <w:tc>
          <w:tcPr>
            <w:tcW w:w="5386" w:type="dxa"/>
          </w:tcPr>
          <w:p w14:paraId="47148AF3" w14:textId="77777777" w:rsidR="004E579D" w:rsidRDefault="004E579D" w:rsidP="00ED7C0A">
            <w:pPr>
              <w:rPr>
                <w:sz w:val="20"/>
                <w:szCs w:val="20"/>
                <w:lang w:val="en-US"/>
              </w:rPr>
            </w:pPr>
          </w:p>
          <w:p w14:paraId="3ED336D8" w14:textId="7C2F8BD6" w:rsidR="00ED7C0A" w:rsidRPr="00ED7C0A" w:rsidRDefault="00ED7C0A" w:rsidP="00ED7C0A">
            <w:pPr>
              <w:rPr>
                <w:sz w:val="20"/>
                <w:szCs w:val="20"/>
                <w:lang w:val="en-US"/>
              </w:rPr>
            </w:pPr>
            <w:r w:rsidRPr="00ED7C0A">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3A518C">
              <w:rPr>
                <w:sz w:val="20"/>
                <w:szCs w:val="20"/>
                <w:lang w:val="en-US"/>
              </w:rPr>
              <w:t xml:space="preserve"> </w:t>
            </w:r>
            <w:r w:rsidRPr="00ED7C0A">
              <w:rPr>
                <w:sz w:val="20"/>
                <w:szCs w:val="20"/>
                <w:lang w:val="en-US"/>
              </w:rPr>
              <w:t>signal our support for these recommendations including nationally consistent inclusive definitions of gender-based violence under the National Plan to End Violence against Women and Children</w:t>
            </w:r>
          </w:p>
          <w:p w14:paraId="3C87AB1A" w14:textId="77777777" w:rsidR="001B11F7" w:rsidRDefault="001B11F7" w:rsidP="00ED7C0A">
            <w:pPr>
              <w:rPr>
                <w:sz w:val="20"/>
                <w:szCs w:val="20"/>
                <w:lang w:val="en-US"/>
              </w:rPr>
            </w:pPr>
          </w:p>
          <w:p w14:paraId="045BE843" w14:textId="4AF5388F" w:rsidR="00CC5857" w:rsidRPr="00B66AB0" w:rsidRDefault="00ED7C0A" w:rsidP="00ED7C0A">
            <w:pPr>
              <w:rPr>
                <w:sz w:val="20"/>
                <w:szCs w:val="20"/>
                <w:lang w:val="en-US"/>
              </w:rPr>
            </w:pPr>
            <w:r w:rsidRPr="00ED7C0A">
              <w:rPr>
                <w:sz w:val="20"/>
                <w:szCs w:val="20"/>
                <w:lang w:val="en-US"/>
              </w:rPr>
              <w:lastRenderedPageBreak/>
              <w:t>Here in the ACT, we support a court-based diversion program for people with disability, funding for pre-crisis interventions and diversion from corrections, an end to indefinite detention in justice settings and improvements to screening to AMC</w:t>
            </w:r>
          </w:p>
        </w:tc>
        <w:tc>
          <w:tcPr>
            <w:tcW w:w="9072" w:type="dxa"/>
          </w:tcPr>
          <w:p w14:paraId="15AF06CB" w14:textId="77777777" w:rsidR="00CC5857" w:rsidRPr="001B11F7" w:rsidRDefault="00CA1D1D">
            <w:pPr>
              <w:rPr>
                <w:i/>
                <w:sz w:val="20"/>
                <w:szCs w:val="20"/>
                <w:lang w:val="en-US"/>
              </w:rPr>
            </w:pPr>
            <w:r w:rsidRPr="001B11F7">
              <w:rPr>
                <w:i/>
                <w:sz w:val="20"/>
                <w:szCs w:val="20"/>
                <w:lang w:val="en-US"/>
              </w:rPr>
              <w:lastRenderedPageBreak/>
              <w:t>ACT</w:t>
            </w:r>
          </w:p>
          <w:p w14:paraId="54EA0943" w14:textId="1D6A166B" w:rsidR="00CC5857" w:rsidRPr="00B66AB0" w:rsidRDefault="00CA1D1D">
            <w:pPr>
              <w:rPr>
                <w:sz w:val="20"/>
                <w:szCs w:val="20"/>
                <w:lang w:val="en-US"/>
              </w:rPr>
            </w:pPr>
            <w:r w:rsidRPr="00CA1D1D">
              <w:rPr>
                <w:sz w:val="20"/>
                <w:szCs w:val="20"/>
              </w:rPr>
              <w:t xml:space="preserve">The ACT Government has responded to several justice-related recommendations from the Disability Royal Commission. </w:t>
            </w:r>
            <w:r w:rsidRPr="00CA1D1D">
              <w:rPr>
                <w:b/>
                <w:bCs/>
                <w:sz w:val="20"/>
                <w:szCs w:val="20"/>
              </w:rPr>
              <w:t>Recommendation 8.1</w:t>
            </w:r>
            <w:r w:rsidRPr="00CA1D1D">
              <w:rPr>
                <w:sz w:val="20"/>
                <w:szCs w:val="20"/>
              </w:rPr>
              <w:t xml:space="preserve"> on conditions in custody, it accepts in principle and is committed to equitable treatment for people with disability. </w:t>
            </w:r>
            <w:r w:rsidRPr="00CA1D1D">
              <w:rPr>
                <w:b/>
                <w:bCs/>
                <w:sz w:val="20"/>
                <w:szCs w:val="20"/>
              </w:rPr>
              <w:t>Recommendation 8.2</w:t>
            </w:r>
            <w:r w:rsidRPr="00CA1D1D">
              <w:rPr>
                <w:sz w:val="20"/>
                <w:szCs w:val="20"/>
              </w:rPr>
              <w:t xml:space="preserve"> on disability awareness in OPCAT monitoring is also accepted in principle, supporting engagement and training improvements. </w:t>
            </w:r>
            <w:r w:rsidRPr="00CA1D1D">
              <w:rPr>
                <w:b/>
                <w:bCs/>
                <w:sz w:val="20"/>
                <w:szCs w:val="20"/>
              </w:rPr>
              <w:t>Recommendation 8.3</w:t>
            </w:r>
            <w:r w:rsidRPr="00CA1D1D">
              <w:rPr>
                <w:sz w:val="20"/>
                <w:szCs w:val="20"/>
              </w:rPr>
              <w:t xml:space="preserve"> to prohibit solitary confinement in youth detention is subject to further consideration. </w:t>
            </w:r>
            <w:r w:rsidRPr="00CA1D1D">
              <w:rPr>
                <w:b/>
                <w:bCs/>
                <w:sz w:val="20"/>
                <w:szCs w:val="20"/>
              </w:rPr>
              <w:t>Recommendation 8.4</w:t>
            </w:r>
            <w:r w:rsidRPr="00CA1D1D">
              <w:rPr>
                <w:sz w:val="20"/>
                <w:szCs w:val="20"/>
              </w:rPr>
              <w:t xml:space="preserve"> on screening and assessment for disability in youth detention is accepted in principle, with current use of the TIRA tool for early screening. The Government accepts </w:t>
            </w:r>
            <w:r w:rsidRPr="00CA1D1D">
              <w:rPr>
                <w:b/>
                <w:bCs/>
                <w:sz w:val="20"/>
                <w:szCs w:val="20"/>
              </w:rPr>
              <w:t>Recommendation 8.5</w:t>
            </w:r>
            <w:r w:rsidRPr="00CA1D1D">
              <w:rPr>
                <w:sz w:val="20"/>
                <w:szCs w:val="20"/>
              </w:rPr>
              <w:t xml:space="preserve"> for </w:t>
            </w:r>
            <w:r w:rsidRPr="00CA1D1D">
              <w:rPr>
                <w:sz w:val="20"/>
                <w:szCs w:val="20"/>
              </w:rPr>
              <w:lastRenderedPageBreak/>
              <w:t xml:space="preserve">disability training for staff in youth detention. </w:t>
            </w:r>
            <w:r w:rsidRPr="00CA1D1D">
              <w:rPr>
                <w:b/>
                <w:bCs/>
                <w:sz w:val="20"/>
                <w:szCs w:val="20"/>
              </w:rPr>
              <w:t>Recommendation 8.11</w:t>
            </w:r>
            <w:r w:rsidRPr="00CA1D1D">
              <w:rPr>
                <w:sz w:val="20"/>
                <w:szCs w:val="20"/>
              </w:rPr>
              <w:t xml:space="preserve"> on providing information for courts and legal practitioners is accepted in principle, facilitating resource development. </w:t>
            </w:r>
            <w:r w:rsidRPr="00CA1D1D">
              <w:rPr>
                <w:b/>
                <w:bCs/>
                <w:sz w:val="20"/>
                <w:szCs w:val="20"/>
              </w:rPr>
              <w:t>Recommendation 8.12</w:t>
            </w:r>
            <w:r w:rsidRPr="00CA1D1D">
              <w:rPr>
                <w:sz w:val="20"/>
                <w:szCs w:val="20"/>
              </w:rPr>
              <w:t xml:space="preserve"> to implement National Principles for fair trials and eliminate indefinite detention is accepted in principle. </w:t>
            </w:r>
            <w:r w:rsidRPr="00CA1D1D">
              <w:rPr>
                <w:b/>
                <w:bCs/>
                <w:sz w:val="20"/>
                <w:szCs w:val="20"/>
              </w:rPr>
              <w:t>Recommendation 8.14</w:t>
            </w:r>
            <w:r w:rsidRPr="00CA1D1D">
              <w:rPr>
                <w:sz w:val="20"/>
                <w:szCs w:val="20"/>
              </w:rPr>
              <w:t xml:space="preserve"> and </w:t>
            </w:r>
            <w:r w:rsidRPr="00CA1D1D">
              <w:rPr>
                <w:b/>
                <w:bCs/>
                <w:sz w:val="20"/>
                <w:szCs w:val="20"/>
              </w:rPr>
              <w:t>Recommendation 8.15</w:t>
            </w:r>
            <w:r w:rsidRPr="00CA1D1D">
              <w:rPr>
                <w:sz w:val="20"/>
                <w:szCs w:val="20"/>
              </w:rPr>
              <w:t xml:space="preserve"> on national practice guidelines and policies for screening and identifying disability in custody are accepted in principle, with ongoing alignment efforts. </w:t>
            </w:r>
            <w:r w:rsidRPr="00CA1D1D">
              <w:rPr>
                <w:b/>
                <w:bCs/>
                <w:sz w:val="20"/>
                <w:szCs w:val="20"/>
              </w:rPr>
              <w:t>Recommendation 8.16</w:t>
            </w:r>
            <w:r w:rsidRPr="00CA1D1D">
              <w:rPr>
                <w:sz w:val="20"/>
                <w:szCs w:val="20"/>
              </w:rPr>
              <w:t xml:space="preserve"> to support detainees through First Nations organisations is accepted in principle. </w:t>
            </w:r>
            <w:r w:rsidRPr="00CA1D1D">
              <w:rPr>
                <w:b/>
                <w:bCs/>
                <w:sz w:val="20"/>
                <w:szCs w:val="20"/>
              </w:rPr>
              <w:t>Recommendation 8.20</w:t>
            </w:r>
            <w:r w:rsidRPr="00CA1D1D">
              <w:rPr>
                <w:sz w:val="20"/>
                <w:szCs w:val="20"/>
              </w:rPr>
              <w:t xml:space="preserve"> on improving police responses to people with disability is accepted in principle, with new roles and guides being developed. </w:t>
            </w:r>
            <w:r w:rsidRPr="00CA1D1D">
              <w:rPr>
                <w:b/>
                <w:bCs/>
                <w:sz w:val="20"/>
                <w:szCs w:val="20"/>
              </w:rPr>
              <w:t>Recommendation 8.21</w:t>
            </w:r>
            <w:r w:rsidRPr="00CA1D1D">
              <w:rPr>
                <w:sz w:val="20"/>
                <w:szCs w:val="20"/>
              </w:rPr>
              <w:t xml:space="preserve"> on diversion programs for people with cognitive disabilities is accepted in principle, recognizing the need for significant investment and legislative changes. Lastly, </w:t>
            </w:r>
            <w:r w:rsidRPr="00CA1D1D">
              <w:rPr>
                <w:b/>
                <w:bCs/>
                <w:sz w:val="20"/>
                <w:szCs w:val="20"/>
              </w:rPr>
              <w:t>Recommendation 8.22</w:t>
            </w:r>
            <w:r w:rsidRPr="00CA1D1D">
              <w:rPr>
                <w:sz w:val="20"/>
                <w:szCs w:val="20"/>
              </w:rPr>
              <w:t xml:space="preserve"> to raise the age of criminal responsibility is accepted, with legislation enacted to raise it to 14 years</w:t>
            </w:r>
          </w:p>
        </w:tc>
        <w:tc>
          <w:tcPr>
            <w:tcW w:w="2410" w:type="dxa"/>
          </w:tcPr>
          <w:p w14:paraId="31722EA6" w14:textId="3ABD6230" w:rsidR="00CC5857" w:rsidRPr="00B66AB0" w:rsidRDefault="00FC5B9A">
            <w:pPr>
              <w:rPr>
                <w:sz w:val="20"/>
                <w:szCs w:val="20"/>
                <w:lang w:val="en-US"/>
              </w:rPr>
            </w:pPr>
            <w:r w:rsidRPr="00934F10">
              <w:rPr>
                <w:color w:val="00B050"/>
                <w:sz w:val="96"/>
                <w:szCs w:val="96"/>
                <w:lang w:val="en-US"/>
              </w:rPr>
              <w:lastRenderedPageBreak/>
              <w:sym w:font="Wingdings" w:char="F0FE"/>
            </w:r>
          </w:p>
        </w:tc>
      </w:tr>
      <w:tr w:rsidR="007578A3" w:rsidRPr="00B66AB0" w14:paraId="1BD123A8" w14:textId="77777777" w:rsidTr="00973197">
        <w:tc>
          <w:tcPr>
            <w:tcW w:w="4957" w:type="dxa"/>
          </w:tcPr>
          <w:p w14:paraId="089F6199" w14:textId="77777777" w:rsidR="00F0523F" w:rsidRPr="00F0523F" w:rsidRDefault="00F0523F" w:rsidP="00F0523F">
            <w:pPr>
              <w:rPr>
                <w:b/>
                <w:bCs/>
                <w:sz w:val="20"/>
                <w:szCs w:val="20"/>
                <w:lang w:val="en-US"/>
              </w:rPr>
            </w:pPr>
            <w:bookmarkStart w:id="12" w:name="FN"/>
            <w:r w:rsidRPr="00F0523F">
              <w:rPr>
                <w:b/>
                <w:bCs/>
                <w:sz w:val="20"/>
                <w:szCs w:val="20"/>
                <w:lang w:val="en-US"/>
              </w:rPr>
              <w:t xml:space="preserve">First Nations  </w:t>
            </w:r>
          </w:p>
          <w:bookmarkEnd w:id="12"/>
          <w:p w14:paraId="656FED57" w14:textId="77777777" w:rsidR="00F0523F" w:rsidRPr="006D1E25" w:rsidRDefault="00F0523F" w:rsidP="00F0523F">
            <w:pPr>
              <w:rPr>
                <w:sz w:val="20"/>
                <w:szCs w:val="20"/>
                <w:lang w:val="en-US"/>
              </w:rPr>
            </w:pPr>
            <w:r w:rsidRPr="006D1E25">
              <w:rPr>
                <w:sz w:val="20"/>
                <w:szCs w:val="20"/>
                <w:lang w:val="en-US"/>
              </w:rPr>
              <w:t xml:space="preserve">The commission recommended culturally appropriate parenting capacity assessments work to ensure the cultural safety of First Nations people in criminal justice settings, the expansion of community connector programs, block funding for first Nations community-controlled </w:t>
            </w:r>
            <w:proofErr w:type="spellStart"/>
            <w:r w:rsidRPr="006D1E25">
              <w:rPr>
                <w:sz w:val="20"/>
                <w:szCs w:val="20"/>
                <w:lang w:val="en-US"/>
              </w:rPr>
              <w:t>organisations</w:t>
            </w:r>
            <w:proofErr w:type="spellEnd"/>
            <w:r w:rsidRPr="006D1E25">
              <w:rPr>
                <w:sz w:val="20"/>
                <w:szCs w:val="20"/>
                <w:lang w:val="en-US"/>
              </w:rPr>
              <w:t xml:space="preserve"> to deliver flexible supports, inclusion of a first Nations person on the NDIA board. It also recommended codesign work on policy guidelines for funding for first Nations family members to provide supports to participants in remote communities.  </w:t>
            </w:r>
          </w:p>
          <w:p w14:paraId="0B0DC1E4" w14:textId="77777777" w:rsidR="00E01144" w:rsidRDefault="00E01144" w:rsidP="00F0523F">
            <w:pPr>
              <w:rPr>
                <w:sz w:val="20"/>
                <w:szCs w:val="20"/>
                <w:lang w:val="en-US"/>
              </w:rPr>
            </w:pPr>
          </w:p>
          <w:p w14:paraId="11F11CBE" w14:textId="0EEBE71B" w:rsidR="00F0523F" w:rsidRPr="006D1E25" w:rsidRDefault="00F0523F" w:rsidP="00F0523F">
            <w:pPr>
              <w:rPr>
                <w:sz w:val="20"/>
                <w:szCs w:val="20"/>
                <w:lang w:val="en-US"/>
              </w:rPr>
            </w:pPr>
            <w:r w:rsidRPr="006D1E25">
              <w:rPr>
                <w:sz w:val="20"/>
                <w:szCs w:val="20"/>
                <w:lang w:val="en-US"/>
              </w:rPr>
              <w:t xml:space="preserve">A First Nations Disability Forum should elevate first Nations Disability policy with ministers and the commission also included recommendations to grow the First Nations disability workforce. </w:t>
            </w:r>
          </w:p>
          <w:p w14:paraId="485AD415" w14:textId="3FB1DAB6" w:rsidR="009A6E2D" w:rsidRPr="00ED7C0A" w:rsidRDefault="009A6E2D" w:rsidP="00F0523F">
            <w:pPr>
              <w:rPr>
                <w:b/>
                <w:bCs/>
                <w:sz w:val="20"/>
                <w:szCs w:val="20"/>
                <w:lang w:val="en-US"/>
              </w:rPr>
            </w:pPr>
          </w:p>
        </w:tc>
        <w:tc>
          <w:tcPr>
            <w:tcW w:w="5386" w:type="dxa"/>
          </w:tcPr>
          <w:p w14:paraId="0BA8C886" w14:textId="77777777" w:rsidR="0073019C" w:rsidRDefault="0073019C" w:rsidP="00ED7C0A">
            <w:pPr>
              <w:rPr>
                <w:sz w:val="20"/>
                <w:szCs w:val="20"/>
                <w:lang w:val="en-US"/>
              </w:rPr>
            </w:pPr>
          </w:p>
          <w:p w14:paraId="5F870BDC" w14:textId="78A2767E" w:rsidR="009A6E2D" w:rsidRPr="00ED7C0A" w:rsidRDefault="006D1E25" w:rsidP="00ED7C0A">
            <w:pPr>
              <w:rPr>
                <w:sz w:val="20"/>
                <w:szCs w:val="20"/>
                <w:lang w:val="en-US"/>
              </w:rPr>
            </w:pPr>
            <w:r w:rsidRPr="006D1E25">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C6415A">
              <w:rPr>
                <w:sz w:val="20"/>
                <w:szCs w:val="20"/>
                <w:lang w:val="en-US"/>
              </w:rPr>
              <w:t xml:space="preserve"> </w:t>
            </w:r>
            <w:r w:rsidRPr="006D1E25">
              <w:rPr>
                <w:sz w:val="20"/>
                <w:szCs w:val="20"/>
                <w:lang w:val="en-US"/>
              </w:rPr>
              <w:t xml:space="preserve">urge attention to the voice of First Nations DPO’s including </w:t>
            </w:r>
            <w:proofErr w:type="spellStart"/>
            <w:r w:rsidRPr="006D1E25">
              <w:rPr>
                <w:sz w:val="20"/>
                <w:szCs w:val="20"/>
                <w:lang w:val="en-US"/>
              </w:rPr>
              <w:t>FPDN</w:t>
            </w:r>
            <w:proofErr w:type="spellEnd"/>
            <w:r w:rsidRPr="006D1E25">
              <w:rPr>
                <w:sz w:val="20"/>
                <w:szCs w:val="20"/>
                <w:lang w:val="en-US"/>
              </w:rPr>
              <w:t xml:space="preserve"> and we provide strong support for measures to elevate First Nations Disability Policy.  </w:t>
            </w:r>
          </w:p>
        </w:tc>
        <w:tc>
          <w:tcPr>
            <w:tcW w:w="9072" w:type="dxa"/>
          </w:tcPr>
          <w:p w14:paraId="6F982B92" w14:textId="3F90AF86" w:rsidR="00630AE2" w:rsidRDefault="00630AE2">
            <w:pPr>
              <w:rPr>
                <w:i/>
                <w:iCs/>
                <w:sz w:val="20"/>
                <w:szCs w:val="20"/>
              </w:rPr>
            </w:pPr>
            <w:r>
              <w:rPr>
                <w:i/>
                <w:iCs/>
                <w:sz w:val="20"/>
                <w:szCs w:val="20"/>
              </w:rPr>
              <w:t>Commonwealth</w:t>
            </w:r>
          </w:p>
          <w:p w14:paraId="25E109DA" w14:textId="6041B637" w:rsidR="00630AE2" w:rsidRPr="00630AE2" w:rsidRDefault="00630AE2">
            <w:pPr>
              <w:rPr>
                <w:b/>
                <w:bCs/>
                <w:sz w:val="20"/>
                <w:szCs w:val="20"/>
              </w:rPr>
            </w:pPr>
            <w:r>
              <w:rPr>
                <w:sz w:val="20"/>
                <w:szCs w:val="20"/>
              </w:rPr>
              <w:t xml:space="preserve">Has accepted </w:t>
            </w:r>
            <w:r>
              <w:rPr>
                <w:b/>
                <w:bCs/>
                <w:sz w:val="20"/>
                <w:szCs w:val="20"/>
              </w:rPr>
              <w:t>Rec 9.4 Expand community connector programs</w:t>
            </w:r>
          </w:p>
          <w:p w14:paraId="2EE7E1B4" w14:textId="77777777" w:rsidR="00630AE2" w:rsidRDefault="00630AE2">
            <w:pPr>
              <w:rPr>
                <w:b/>
                <w:bCs/>
                <w:sz w:val="20"/>
                <w:szCs w:val="20"/>
              </w:rPr>
            </w:pPr>
          </w:p>
          <w:p w14:paraId="4A07B1E9" w14:textId="0598175A" w:rsidR="00590880" w:rsidRPr="00765A6A" w:rsidRDefault="00765A6A">
            <w:pPr>
              <w:rPr>
                <w:sz w:val="20"/>
                <w:szCs w:val="20"/>
              </w:rPr>
            </w:pPr>
            <w:r>
              <w:rPr>
                <w:b/>
                <w:bCs/>
                <w:sz w:val="20"/>
                <w:szCs w:val="20"/>
              </w:rPr>
              <w:t xml:space="preserve">Rec 9.10 First Nations Disability Forum </w:t>
            </w:r>
            <w:r>
              <w:rPr>
                <w:sz w:val="20"/>
                <w:szCs w:val="20"/>
              </w:rPr>
              <w:t xml:space="preserve">has been accepted in principle. </w:t>
            </w:r>
          </w:p>
          <w:p w14:paraId="55CE4C5B" w14:textId="77777777" w:rsidR="00630AE2" w:rsidRDefault="00630AE2">
            <w:pPr>
              <w:rPr>
                <w:sz w:val="20"/>
                <w:szCs w:val="20"/>
              </w:rPr>
            </w:pPr>
          </w:p>
          <w:p w14:paraId="46234082" w14:textId="0616B35C" w:rsidR="00910EFC" w:rsidRDefault="00910EFC">
            <w:pPr>
              <w:rPr>
                <w:sz w:val="20"/>
                <w:szCs w:val="20"/>
              </w:rPr>
            </w:pPr>
            <w:r>
              <w:rPr>
                <w:sz w:val="20"/>
                <w:szCs w:val="20"/>
              </w:rPr>
              <w:t xml:space="preserve">Note: </w:t>
            </w:r>
            <w:r w:rsidR="0017018D">
              <w:rPr>
                <w:sz w:val="20"/>
                <w:szCs w:val="20"/>
              </w:rPr>
              <w:t xml:space="preserve">all recs in this volume </w:t>
            </w:r>
            <w:r w:rsidR="002B6898">
              <w:rPr>
                <w:sz w:val="20"/>
                <w:szCs w:val="20"/>
              </w:rPr>
              <w:t>have been accepted (in principle</w:t>
            </w:r>
            <w:r w:rsidR="00643A51">
              <w:rPr>
                <w:sz w:val="20"/>
                <w:szCs w:val="20"/>
              </w:rPr>
              <w:t>).</w:t>
            </w:r>
          </w:p>
          <w:p w14:paraId="7946DF30" w14:textId="77777777" w:rsidR="00643A51" w:rsidRPr="00765A6A" w:rsidRDefault="00643A51">
            <w:pPr>
              <w:rPr>
                <w:sz w:val="20"/>
                <w:szCs w:val="20"/>
              </w:rPr>
            </w:pPr>
          </w:p>
          <w:p w14:paraId="75DA13B3" w14:textId="122AD2CD" w:rsidR="00630AE2" w:rsidRPr="00643A51" w:rsidRDefault="00643A51">
            <w:pPr>
              <w:rPr>
                <w:i/>
                <w:sz w:val="20"/>
                <w:szCs w:val="20"/>
              </w:rPr>
            </w:pPr>
            <w:r>
              <w:rPr>
                <w:i/>
                <w:iCs/>
                <w:sz w:val="20"/>
                <w:szCs w:val="20"/>
              </w:rPr>
              <w:t>ACT</w:t>
            </w:r>
          </w:p>
          <w:p w14:paraId="67E04195" w14:textId="1D8AEE06" w:rsidR="009A6E2D" w:rsidRDefault="005A16F9">
            <w:pPr>
              <w:rPr>
                <w:sz w:val="20"/>
                <w:szCs w:val="20"/>
              </w:rPr>
            </w:pPr>
            <w:r w:rsidRPr="005A16F9">
              <w:rPr>
                <w:b/>
                <w:bCs/>
                <w:sz w:val="20"/>
                <w:szCs w:val="20"/>
              </w:rPr>
              <w:t>Recommendation 9.1 Culturally appropriate parenting capacity assessments</w:t>
            </w:r>
            <w:r w:rsidR="0033547E">
              <w:rPr>
                <w:sz w:val="20"/>
                <w:szCs w:val="20"/>
              </w:rPr>
              <w:t xml:space="preserve"> </w:t>
            </w:r>
          </w:p>
          <w:p w14:paraId="4765563B" w14:textId="77777777" w:rsidR="00DF5991" w:rsidRDefault="00DF5991">
            <w:pPr>
              <w:rPr>
                <w:sz w:val="20"/>
                <w:szCs w:val="20"/>
              </w:rPr>
            </w:pPr>
            <w:r w:rsidRPr="00DF5991">
              <w:rPr>
                <w:sz w:val="20"/>
                <w:szCs w:val="20"/>
              </w:rPr>
              <w:t xml:space="preserve">The ACT Government has undertaken significant reform to increase the cultural responsiveness of its Child and Youth Protection Services (CYPS), including embedding the Aboriginal and Torres Strait Islander Child Placement Principle into the Children and Young People Act. Building cultural responsiveness has also occurred through the continued implementation of the recommendations of the Our </w:t>
            </w:r>
            <w:proofErr w:type="spellStart"/>
            <w:r w:rsidRPr="00DF5991">
              <w:rPr>
                <w:sz w:val="20"/>
                <w:szCs w:val="20"/>
              </w:rPr>
              <w:t>Booris</w:t>
            </w:r>
            <w:proofErr w:type="spellEnd"/>
            <w:r w:rsidRPr="00DF5991">
              <w:rPr>
                <w:sz w:val="20"/>
                <w:szCs w:val="20"/>
              </w:rPr>
              <w:t>, Our Way report, an Aboriginal and Torres Strait Islander community-led review of the experiences of Aboriginal and Torres Strait Islander families in the ACT child protection system, that made recommendations for sweeping change. Further reform has been delivered through the establishment of the Aboriginal and Torres Strait Islander Family Support Team, the Aboriginal and Torres Strait Islander Kinship Liaison Officer, Family Group Conferencing and establishment of the Family Connection and Restoration team. The ACT Government recognises ongoing work is required to increase the cultural responsiveness of CYPS for Aboriginal and Torres Strait Islander parents with a disability. The ACT Government will explore options for co-designing with the Aboriginal and Torres Islander community and key partners, clear principles and guidelines for best practice parenting capacity assessments for Aboriginal and Torres Strait Islander parents with disability, as well as relevant guidelines and training. Where possible the ACT Government will work with other jurisdictions to ensure consistency in the development and implementation of these standards</w:t>
            </w:r>
          </w:p>
          <w:p w14:paraId="31D5591E" w14:textId="288E741C" w:rsidR="007D5CAF" w:rsidRDefault="007D5CAF">
            <w:pPr>
              <w:rPr>
                <w:sz w:val="20"/>
                <w:szCs w:val="20"/>
              </w:rPr>
            </w:pPr>
            <w:r w:rsidRPr="007D5CAF">
              <w:rPr>
                <w:b/>
                <w:bCs/>
                <w:sz w:val="20"/>
                <w:szCs w:val="20"/>
              </w:rPr>
              <w:t>Recommendation 9.3 Cultural safety of First Nations people in criminal justice setting</w:t>
            </w:r>
            <w:r>
              <w:rPr>
                <w:sz w:val="20"/>
                <w:szCs w:val="20"/>
              </w:rPr>
              <w:t xml:space="preserve"> – </w:t>
            </w:r>
            <w:r w:rsidR="000021F7" w:rsidRPr="000021F7">
              <w:rPr>
                <w:sz w:val="20"/>
                <w:szCs w:val="20"/>
              </w:rPr>
              <w:t>The ACT Government accepts this recommendation in principle, noting the likely financial implications of implementing actions.</w:t>
            </w:r>
          </w:p>
          <w:p w14:paraId="5ADED5C8" w14:textId="13002CA8" w:rsidR="009A6E2D" w:rsidRPr="0033547E" w:rsidRDefault="009A6E2D">
            <w:pPr>
              <w:rPr>
                <w:sz w:val="20"/>
                <w:szCs w:val="20"/>
                <w:lang w:val="en-US"/>
              </w:rPr>
            </w:pPr>
          </w:p>
        </w:tc>
        <w:tc>
          <w:tcPr>
            <w:tcW w:w="2410" w:type="dxa"/>
          </w:tcPr>
          <w:p w14:paraId="31BC31D9" w14:textId="3DE46BBA" w:rsidR="009A6E2D" w:rsidRPr="00B66AB0" w:rsidRDefault="004A46E4">
            <w:pPr>
              <w:rPr>
                <w:sz w:val="20"/>
                <w:szCs w:val="20"/>
                <w:lang w:val="en-US"/>
              </w:rPr>
            </w:pPr>
            <w:r>
              <w:rPr>
                <w:sz w:val="20"/>
                <w:szCs w:val="20"/>
                <w:lang w:val="en-US"/>
              </w:rPr>
              <w:lastRenderedPageBreak/>
              <w:t xml:space="preserve">Some progress </w:t>
            </w:r>
          </w:p>
        </w:tc>
      </w:tr>
      <w:tr w:rsidR="007578A3" w:rsidRPr="00B66AB0" w14:paraId="61C75A06" w14:textId="77777777" w:rsidTr="00973197">
        <w:tc>
          <w:tcPr>
            <w:tcW w:w="4957" w:type="dxa"/>
          </w:tcPr>
          <w:p w14:paraId="0A79D54A" w14:textId="77777777" w:rsidR="00394AA4" w:rsidRPr="00394AA4" w:rsidRDefault="00394AA4" w:rsidP="00394AA4">
            <w:pPr>
              <w:rPr>
                <w:b/>
                <w:bCs/>
                <w:sz w:val="20"/>
                <w:szCs w:val="20"/>
                <w:lang w:val="en-US"/>
              </w:rPr>
            </w:pPr>
            <w:bookmarkStart w:id="13" w:name="OPCAT"/>
            <w:r w:rsidRPr="00394AA4">
              <w:rPr>
                <w:b/>
                <w:bCs/>
                <w:sz w:val="20"/>
                <w:szCs w:val="20"/>
                <w:lang w:val="en-US"/>
              </w:rPr>
              <w:t xml:space="preserve">OPCAT </w:t>
            </w:r>
          </w:p>
          <w:bookmarkEnd w:id="13"/>
          <w:p w14:paraId="7EF840A2" w14:textId="77777777" w:rsidR="00394AA4" w:rsidRPr="002B2A1C" w:rsidRDefault="00394AA4" w:rsidP="00394AA4">
            <w:pPr>
              <w:rPr>
                <w:sz w:val="20"/>
                <w:szCs w:val="20"/>
                <w:lang w:val="en-US"/>
              </w:rPr>
            </w:pPr>
            <w:proofErr w:type="gramStart"/>
            <w:r w:rsidRPr="002B2A1C">
              <w:rPr>
                <w:sz w:val="20"/>
                <w:szCs w:val="20"/>
                <w:lang w:val="en-US"/>
              </w:rPr>
              <w:t>Commission</w:t>
            </w:r>
            <w:proofErr w:type="gramEnd"/>
            <w:r w:rsidRPr="002B2A1C">
              <w:rPr>
                <w:sz w:val="20"/>
                <w:szCs w:val="20"/>
                <w:lang w:val="en-US"/>
              </w:rPr>
              <w:t xml:space="preserve"> recommended a program of work to enshrine the key provision of the optional protocol against torture within legislation. There was a recommendation for nationally consistent community visitor schemes in </w:t>
            </w:r>
            <w:proofErr w:type="gramStart"/>
            <w:r w:rsidRPr="002B2A1C">
              <w:rPr>
                <w:sz w:val="20"/>
                <w:szCs w:val="20"/>
                <w:lang w:val="en-US"/>
              </w:rPr>
              <w:t>close</w:t>
            </w:r>
            <w:proofErr w:type="gramEnd"/>
            <w:r w:rsidRPr="002B2A1C">
              <w:rPr>
                <w:sz w:val="20"/>
                <w:szCs w:val="20"/>
                <w:lang w:val="en-US"/>
              </w:rPr>
              <w:t xml:space="preserve"> spaces. </w:t>
            </w:r>
          </w:p>
          <w:p w14:paraId="55D99A02" w14:textId="77920FDC" w:rsidR="00B83F07" w:rsidRPr="00F0523F" w:rsidRDefault="00B83F07" w:rsidP="00394AA4">
            <w:pPr>
              <w:rPr>
                <w:b/>
                <w:bCs/>
                <w:sz w:val="20"/>
                <w:szCs w:val="20"/>
                <w:lang w:val="en-US"/>
              </w:rPr>
            </w:pPr>
          </w:p>
        </w:tc>
        <w:tc>
          <w:tcPr>
            <w:tcW w:w="5386" w:type="dxa"/>
          </w:tcPr>
          <w:p w14:paraId="6A14E4A0" w14:textId="77777777" w:rsidR="00F15AF6" w:rsidRDefault="00F15AF6" w:rsidP="00ED7C0A">
            <w:pPr>
              <w:rPr>
                <w:sz w:val="20"/>
                <w:szCs w:val="20"/>
                <w:lang w:val="en-US"/>
              </w:rPr>
            </w:pPr>
          </w:p>
          <w:p w14:paraId="17F628AE" w14:textId="5AD64B55" w:rsidR="00B83F07" w:rsidRPr="002B2A1C" w:rsidRDefault="00F331E5" w:rsidP="00ED7C0A">
            <w:pPr>
              <w:rPr>
                <w:sz w:val="20"/>
                <w:szCs w:val="20"/>
                <w:lang w:val="en-US"/>
              </w:rPr>
            </w:pPr>
            <w:r w:rsidRPr="002B2A1C">
              <w:rPr>
                <w:sz w:val="20"/>
                <w:szCs w:val="20"/>
                <w:lang w:val="en-US"/>
              </w:rPr>
              <w:t xml:space="preserve">Here in the </w:t>
            </w:r>
            <w:proofErr w:type="gramStart"/>
            <w:r w:rsidRPr="002B2A1C">
              <w:rPr>
                <w:sz w:val="20"/>
                <w:szCs w:val="20"/>
                <w:lang w:val="en-US"/>
              </w:rPr>
              <w:t>ACT</w:t>
            </w:r>
            <w:proofErr w:type="gramEnd"/>
            <w:r w:rsidRPr="002B2A1C">
              <w:rPr>
                <w:sz w:val="20"/>
                <w:szCs w:val="20"/>
                <w:lang w:val="en-US"/>
              </w:rPr>
              <w:t xml:space="preserve"> we support appropriate funding for an </w:t>
            </w:r>
            <w:proofErr w:type="spellStart"/>
            <w:r w:rsidRPr="002B2A1C">
              <w:rPr>
                <w:sz w:val="20"/>
                <w:szCs w:val="20"/>
                <w:lang w:val="en-US"/>
              </w:rPr>
              <w:t>NPM</w:t>
            </w:r>
            <w:proofErr w:type="spellEnd"/>
            <w:r w:rsidRPr="002B2A1C">
              <w:rPr>
                <w:sz w:val="20"/>
                <w:szCs w:val="20"/>
                <w:lang w:val="en-US"/>
              </w:rPr>
              <w:t xml:space="preserve"> which goes beyond a staff member</w:t>
            </w:r>
          </w:p>
        </w:tc>
        <w:tc>
          <w:tcPr>
            <w:tcW w:w="9072" w:type="dxa"/>
          </w:tcPr>
          <w:p w14:paraId="46FD8296" w14:textId="0D9C43BD" w:rsidR="00F15AF6" w:rsidRDefault="00F15AF6">
            <w:pPr>
              <w:rPr>
                <w:i/>
                <w:iCs/>
                <w:sz w:val="20"/>
                <w:szCs w:val="20"/>
                <w:lang w:val="en-US"/>
              </w:rPr>
            </w:pPr>
            <w:r>
              <w:rPr>
                <w:i/>
                <w:iCs/>
                <w:sz w:val="20"/>
                <w:szCs w:val="20"/>
                <w:lang w:val="en-US"/>
              </w:rPr>
              <w:t>Commonwealth</w:t>
            </w:r>
          </w:p>
          <w:p w14:paraId="19D11BB8" w14:textId="1C0D7ACE" w:rsidR="00F15AF6" w:rsidRPr="00B256EE" w:rsidRDefault="00B256EE">
            <w:pPr>
              <w:rPr>
                <w:sz w:val="20"/>
                <w:szCs w:val="20"/>
                <w:lang w:val="en-US"/>
              </w:rPr>
            </w:pPr>
            <w:r>
              <w:rPr>
                <w:b/>
                <w:bCs/>
                <w:sz w:val="20"/>
                <w:szCs w:val="20"/>
                <w:lang w:val="en-US"/>
              </w:rPr>
              <w:t xml:space="preserve">Recs 11.1-11.2 </w:t>
            </w:r>
            <w:r>
              <w:rPr>
                <w:sz w:val="20"/>
                <w:szCs w:val="20"/>
                <w:lang w:val="en-US"/>
              </w:rPr>
              <w:t xml:space="preserve">on adult safeguarding and nationally consistent adult safeguarding functions </w:t>
            </w:r>
            <w:r w:rsidR="000B161C">
              <w:rPr>
                <w:sz w:val="20"/>
                <w:szCs w:val="20"/>
                <w:lang w:val="en-US"/>
              </w:rPr>
              <w:t xml:space="preserve">are subject to further consideration. </w:t>
            </w:r>
          </w:p>
          <w:p w14:paraId="594FE9E5" w14:textId="77777777" w:rsidR="00910EFC" w:rsidRDefault="00910EFC">
            <w:pPr>
              <w:rPr>
                <w:sz w:val="20"/>
                <w:szCs w:val="20"/>
                <w:lang w:val="en-US"/>
              </w:rPr>
            </w:pPr>
          </w:p>
          <w:p w14:paraId="60D7B7F4" w14:textId="77777777" w:rsidR="0033542D" w:rsidRDefault="00910EFC">
            <w:pPr>
              <w:rPr>
                <w:sz w:val="20"/>
                <w:szCs w:val="20"/>
                <w:lang w:val="en-US"/>
              </w:rPr>
            </w:pPr>
            <w:r>
              <w:rPr>
                <w:sz w:val="20"/>
                <w:szCs w:val="20"/>
                <w:lang w:val="en-US"/>
              </w:rPr>
              <w:t xml:space="preserve">The response discusses </w:t>
            </w:r>
            <w:r w:rsidRPr="009B3DF0">
              <w:rPr>
                <w:sz w:val="20"/>
                <w:szCs w:val="20"/>
                <w:lang w:val="en-US"/>
              </w:rPr>
              <w:t>$</w:t>
            </w:r>
            <w:r>
              <w:rPr>
                <w:sz w:val="20"/>
                <w:szCs w:val="20"/>
                <w:lang w:val="en-US"/>
              </w:rPr>
              <w:t>4.4 million to drive a nationally consistent approach to state and territory operated disability community visitor schemes.</w:t>
            </w:r>
          </w:p>
          <w:p w14:paraId="175B3C59" w14:textId="77777777" w:rsidR="00F15AF6" w:rsidRDefault="00F15AF6">
            <w:pPr>
              <w:rPr>
                <w:i/>
                <w:iCs/>
                <w:sz w:val="20"/>
                <w:szCs w:val="20"/>
                <w:lang w:val="en-US"/>
              </w:rPr>
            </w:pPr>
          </w:p>
          <w:p w14:paraId="2573E773" w14:textId="0687808C" w:rsidR="00B83F07" w:rsidRPr="00F15AF6" w:rsidRDefault="0043525C">
            <w:pPr>
              <w:rPr>
                <w:i/>
                <w:sz w:val="20"/>
                <w:szCs w:val="20"/>
                <w:lang w:val="en-US"/>
              </w:rPr>
            </w:pPr>
            <w:r w:rsidRPr="00F15AF6">
              <w:rPr>
                <w:i/>
                <w:sz w:val="20"/>
                <w:szCs w:val="20"/>
                <w:lang w:val="en-US"/>
              </w:rPr>
              <w:t xml:space="preserve">ACT </w:t>
            </w:r>
          </w:p>
          <w:p w14:paraId="4EEC0828" w14:textId="32135FB8" w:rsidR="00037E5E" w:rsidRDefault="00037E5E">
            <w:pPr>
              <w:rPr>
                <w:b/>
                <w:bCs/>
                <w:sz w:val="20"/>
                <w:szCs w:val="20"/>
              </w:rPr>
            </w:pPr>
            <w:r>
              <w:rPr>
                <w:b/>
                <w:bCs/>
                <w:sz w:val="20"/>
                <w:szCs w:val="20"/>
              </w:rPr>
              <w:t xml:space="preserve">The ACT Government broadly accepts </w:t>
            </w:r>
            <w:r w:rsidR="0043017C">
              <w:rPr>
                <w:b/>
                <w:bCs/>
                <w:sz w:val="20"/>
                <w:szCs w:val="20"/>
              </w:rPr>
              <w:t xml:space="preserve">the OPCAT recommendations </w:t>
            </w:r>
          </w:p>
          <w:p w14:paraId="5983488B" w14:textId="0DBAB630" w:rsidR="00B83F07" w:rsidRPr="00B66AB0" w:rsidRDefault="0043525C">
            <w:pPr>
              <w:rPr>
                <w:sz w:val="20"/>
                <w:szCs w:val="20"/>
                <w:lang w:val="en-US"/>
              </w:rPr>
            </w:pPr>
            <w:r w:rsidRPr="0043525C">
              <w:rPr>
                <w:b/>
                <w:bCs/>
                <w:sz w:val="20"/>
                <w:szCs w:val="20"/>
              </w:rPr>
              <w:t>Recommendation 11.7</w:t>
            </w:r>
            <w:r w:rsidRPr="0043525C">
              <w:rPr>
                <w:sz w:val="20"/>
                <w:szCs w:val="20"/>
              </w:rPr>
              <w:t xml:space="preserve">, which calls for resourcing and adopting a broader definition of places of detention, the Government accepts this in principle and introduced the Monitoring Places of Detention Legislation Amendment Bill 2024. </w:t>
            </w:r>
            <w:r w:rsidRPr="0043525C">
              <w:rPr>
                <w:b/>
                <w:bCs/>
                <w:sz w:val="20"/>
                <w:szCs w:val="20"/>
              </w:rPr>
              <w:t>Recommendation 11.8</w:t>
            </w:r>
            <w:r w:rsidRPr="0043525C">
              <w:rPr>
                <w:sz w:val="20"/>
                <w:szCs w:val="20"/>
              </w:rPr>
              <w:t xml:space="preserve">, which involves legislating the establishment of </w:t>
            </w:r>
            <w:proofErr w:type="spellStart"/>
            <w:r w:rsidRPr="0043525C">
              <w:rPr>
                <w:sz w:val="20"/>
                <w:szCs w:val="20"/>
              </w:rPr>
              <w:t>NPM</w:t>
            </w:r>
            <w:proofErr w:type="spellEnd"/>
            <w:r w:rsidRPr="0043525C">
              <w:rPr>
                <w:sz w:val="20"/>
                <w:szCs w:val="20"/>
              </w:rPr>
              <w:t xml:space="preserve"> functions and facilitating UN inspections, is accepted, with existing provisions under the Monitoring of Places of Detention Act 2018. </w:t>
            </w:r>
            <w:r w:rsidRPr="0043525C">
              <w:rPr>
                <w:b/>
                <w:bCs/>
                <w:sz w:val="20"/>
                <w:szCs w:val="20"/>
              </w:rPr>
              <w:t>Recommendation 11.11</w:t>
            </w:r>
            <w:r w:rsidRPr="0043525C">
              <w:rPr>
                <w:sz w:val="20"/>
                <w:szCs w:val="20"/>
              </w:rPr>
              <w:t xml:space="preserve">, suggesting a disability-inclusive approach to OPCAT implementation, is subject to further consideration, with a commitment to engaging with civil society and providing additional training. Finally, </w:t>
            </w:r>
            <w:r w:rsidRPr="0043525C">
              <w:rPr>
                <w:b/>
                <w:bCs/>
                <w:sz w:val="20"/>
                <w:szCs w:val="20"/>
              </w:rPr>
              <w:t>Recommendation 11.12</w:t>
            </w:r>
            <w:r w:rsidRPr="0043525C">
              <w:rPr>
                <w:sz w:val="20"/>
                <w:szCs w:val="20"/>
              </w:rPr>
              <w:t xml:space="preserve"> for nationally consistent community visitor schemes is accepted, with the ACT working to align its current scheme with national standards while maintaining its scope.</w:t>
            </w:r>
          </w:p>
        </w:tc>
        <w:tc>
          <w:tcPr>
            <w:tcW w:w="2410" w:type="dxa"/>
          </w:tcPr>
          <w:p w14:paraId="1C82D237" w14:textId="7F0587D9" w:rsidR="00B83F07" w:rsidRPr="00B66AB0" w:rsidRDefault="004A46E4">
            <w:pPr>
              <w:rPr>
                <w:sz w:val="20"/>
                <w:szCs w:val="20"/>
                <w:lang w:val="en-US"/>
              </w:rPr>
            </w:pPr>
            <w:r w:rsidRPr="00934F10">
              <w:rPr>
                <w:color w:val="00B050"/>
                <w:sz w:val="96"/>
                <w:szCs w:val="96"/>
                <w:lang w:val="en-US"/>
              </w:rPr>
              <w:sym w:font="Wingdings" w:char="F0FE"/>
            </w:r>
          </w:p>
        </w:tc>
      </w:tr>
      <w:tr w:rsidR="007578A3" w:rsidRPr="00B66AB0" w14:paraId="10C8B6DA" w14:textId="77777777" w:rsidTr="00973197">
        <w:tc>
          <w:tcPr>
            <w:tcW w:w="4957" w:type="dxa"/>
          </w:tcPr>
          <w:p w14:paraId="5851DC06" w14:textId="77777777" w:rsidR="002B2A1C" w:rsidRPr="002B2A1C" w:rsidRDefault="002B2A1C" w:rsidP="002B2A1C">
            <w:pPr>
              <w:rPr>
                <w:b/>
                <w:bCs/>
                <w:sz w:val="20"/>
                <w:szCs w:val="20"/>
                <w:lang w:val="en-US"/>
              </w:rPr>
            </w:pPr>
            <w:bookmarkStart w:id="14" w:name="DDR"/>
            <w:r w:rsidRPr="002B2A1C">
              <w:rPr>
                <w:b/>
                <w:bCs/>
                <w:sz w:val="20"/>
                <w:szCs w:val="20"/>
                <w:lang w:val="en-US"/>
              </w:rPr>
              <w:t xml:space="preserve">Disability Death Reviews </w:t>
            </w:r>
          </w:p>
          <w:bookmarkEnd w:id="14"/>
          <w:p w14:paraId="5772CA24" w14:textId="77777777" w:rsidR="002B2A1C" w:rsidRPr="002B2A1C" w:rsidRDefault="002B2A1C" w:rsidP="002B2A1C">
            <w:pPr>
              <w:rPr>
                <w:sz w:val="20"/>
                <w:szCs w:val="20"/>
                <w:lang w:val="en-US"/>
              </w:rPr>
            </w:pPr>
            <w:r w:rsidRPr="002B2A1C">
              <w:rPr>
                <w:sz w:val="20"/>
                <w:szCs w:val="20"/>
                <w:lang w:val="en-US"/>
              </w:rPr>
              <w:t xml:space="preserve">The commission recommended a Disability Death review scheme to monitor and review the deaths of people with disability and remove avoidable risk factors to be </w:t>
            </w:r>
            <w:proofErr w:type="spellStart"/>
            <w:r w:rsidRPr="002B2A1C">
              <w:rPr>
                <w:sz w:val="20"/>
                <w:szCs w:val="20"/>
                <w:lang w:val="en-US"/>
              </w:rPr>
              <w:t>operationalised</w:t>
            </w:r>
            <w:proofErr w:type="spellEnd"/>
            <w:r w:rsidRPr="002B2A1C">
              <w:rPr>
                <w:sz w:val="20"/>
                <w:szCs w:val="20"/>
                <w:lang w:val="en-US"/>
              </w:rPr>
              <w:t xml:space="preserve"> your national agreement. It also recommended nationally consistent reportable conduct schemes for disability in line with the recommendations of the Royal commission into institutional responses to child sexual abuse. </w:t>
            </w:r>
          </w:p>
          <w:p w14:paraId="33F88E26" w14:textId="79F142BF" w:rsidR="00B83F07" w:rsidRPr="00F0523F" w:rsidRDefault="00B83F07" w:rsidP="002B2A1C">
            <w:pPr>
              <w:rPr>
                <w:b/>
                <w:bCs/>
                <w:sz w:val="20"/>
                <w:szCs w:val="20"/>
                <w:lang w:val="en-US"/>
              </w:rPr>
            </w:pPr>
          </w:p>
        </w:tc>
        <w:tc>
          <w:tcPr>
            <w:tcW w:w="5386" w:type="dxa"/>
          </w:tcPr>
          <w:p w14:paraId="148A3BE5" w14:textId="77777777" w:rsidR="00E85AE5" w:rsidRDefault="00E85AE5" w:rsidP="00ED7C0A">
            <w:pPr>
              <w:rPr>
                <w:sz w:val="20"/>
                <w:szCs w:val="20"/>
                <w:lang w:val="en-US"/>
              </w:rPr>
            </w:pPr>
          </w:p>
          <w:p w14:paraId="617225B0" w14:textId="3CAB5936" w:rsidR="00B83F07" w:rsidRPr="006D1E25" w:rsidRDefault="000026EA" w:rsidP="00ED7C0A">
            <w:pPr>
              <w:rPr>
                <w:sz w:val="20"/>
                <w:szCs w:val="20"/>
                <w:lang w:val="en-US"/>
              </w:rPr>
            </w:pPr>
            <w:r w:rsidRPr="002B2A1C">
              <w:rPr>
                <w:sz w:val="20"/>
                <w:szCs w:val="20"/>
                <w:lang w:val="en-US"/>
              </w:rPr>
              <w:t xml:space="preserve">As the ACT discusses these matters in the National Cabinet, ACT </w:t>
            </w:r>
            <w:r w:rsidR="00F06EFE">
              <w:rPr>
                <w:sz w:val="20"/>
                <w:szCs w:val="20"/>
                <w:lang w:val="en-US"/>
              </w:rPr>
              <w:t>DPO’s/</w:t>
            </w:r>
            <w:proofErr w:type="spellStart"/>
            <w:r w:rsidR="00F06EFE">
              <w:rPr>
                <w:sz w:val="20"/>
                <w:szCs w:val="20"/>
                <w:lang w:val="en-US"/>
              </w:rPr>
              <w:t>DRO’s</w:t>
            </w:r>
            <w:proofErr w:type="spellEnd"/>
            <w:r w:rsidR="00F347C4">
              <w:rPr>
                <w:sz w:val="20"/>
                <w:szCs w:val="20"/>
                <w:lang w:val="en-US"/>
              </w:rPr>
              <w:t xml:space="preserve"> </w:t>
            </w:r>
            <w:r w:rsidRPr="002B2A1C">
              <w:rPr>
                <w:sz w:val="20"/>
                <w:szCs w:val="20"/>
                <w:lang w:val="en-US"/>
              </w:rPr>
              <w:t>support a Disability Death Review Scheme.</w:t>
            </w:r>
          </w:p>
        </w:tc>
        <w:tc>
          <w:tcPr>
            <w:tcW w:w="9072" w:type="dxa"/>
          </w:tcPr>
          <w:p w14:paraId="35D13BDF" w14:textId="481980C7" w:rsidR="004643CD" w:rsidRDefault="004643CD">
            <w:pPr>
              <w:rPr>
                <w:i/>
                <w:iCs/>
                <w:sz w:val="20"/>
                <w:szCs w:val="20"/>
                <w:lang w:val="en-US"/>
              </w:rPr>
            </w:pPr>
            <w:r>
              <w:rPr>
                <w:i/>
                <w:iCs/>
                <w:sz w:val="20"/>
                <w:szCs w:val="20"/>
                <w:lang w:val="en-US"/>
              </w:rPr>
              <w:t xml:space="preserve">Commonwealth </w:t>
            </w:r>
          </w:p>
          <w:p w14:paraId="1C740D31" w14:textId="77777777" w:rsidR="004643CD" w:rsidRPr="00B256EE" w:rsidRDefault="004643CD" w:rsidP="004643CD">
            <w:pPr>
              <w:rPr>
                <w:sz w:val="20"/>
                <w:szCs w:val="20"/>
                <w:lang w:val="en-US"/>
              </w:rPr>
            </w:pPr>
            <w:r>
              <w:rPr>
                <w:b/>
                <w:bCs/>
                <w:sz w:val="20"/>
                <w:szCs w:val="20"/>
                <w:lang w:val="en-US"/>
              </w:rPr>
              <w:t xml:space="preserve">Rec 11.16 National agreement on disability death reviews </w:t>
            </w:r>
            <w:r>
              <w:rPr>
                <w:sz w:val="20"/>
                <w:szCs w:val="20"/>
                <w:lang w:val="en-US"/>
              </w:rPr>
              <w:t xml:space="preserve">is subject to further consideration and responded to in vague terms: ‘will work together to further consider the appropriateness...’   </w:t>
            </w:r>
          </w:p>
          <w:p w14:paraId="199084A7" w14:textId="77777777" w:rsidR="004643CD" w:rsidRPr="004643CD" w:rsidRDefault="004643CD">
            <w:pPr>
              <w:rPr>
                <w:sz w:val="20"/>
                <w:szCs w:val="20"/>
                <w:lang w:val="en-US"/>
              </w:rPr>
            </w:pPr>
          </w:p>
          <w:p w14:paraId="12E796EA" w14:textId="6BABB87B" w:rsidR="00B83F07" w:rsidRPr="00EC0E0C" w:rsidRDefault="009D2CFB">
            <w:pPr>
              <w:rPr>
                <w:i/>
                <w:sz w:val="20"/>
                <w:szCs w:val="20"/>
                <w:lang w:val="en-US"/>
              </w:rPr>
            </w:pPr>
            <w:r w:rsidRPr="00EC0E0C">
              <w:rPr>
                <w:i/>
                <w:sz w:val="20"/>
                <w:szCs w:val="20"/>
                <w:lang w:val="en-US"/>
              </w:rPr>
              <w:t>ACT</w:t>
            </w:r>
          </w:p>
          <w:p w14:paraId="3C8C9F91" w14:textId="77777777" w:rsidR="0006088D" w:rsidRDefault="001168CF">
            <w:pPr>
              <w:rPr>
                <w:sz w:val="20"/>
                <w:szCs w:val="20"/>
              </w:rPr>
            </w:pPr>
            <w:r w:rsidRPr="0024183B">
              <w:rPr>
                <w:b/>
                <w:bCs/>
                <w:sz w:val="20"/>
                <w:szCs w:val="20"/>
              </w:rPr>
              <w:t>Recommendation 11.14 Establishing disability death review schemes</w:t>
            </w:r>
            <w:r w:rsidR="00020C4C">
              <w:rPr>
                <w:b/>
                <w:bCs/>
                <w:sz w:val="20"/>
                <w:szCs w:val="20"/>
              </w:rPr>
              <w:t xml:space="preserve"> </w:t>
            </w:r>
            <w:r w:rsidR="001D2637" w:rsidRPr="001D2637">
              <w:rPr>
                <w:sz w:val="20"/>
                <w:szCs w:val="20"/>
              </w:rPr>
              <w:t>The ACT Government accepts this recommendation in principle, recognising that the development of a disability death review scheme presents an important opportunity to better understand factors contributing to risk of death among people with disability in the territory</w:t>
            </w:r>
          </w:p>
          <w:p w14:paraId="2BAC75BB" w14:textId="1C7B9110" w:rsidR="001D2637" w:rsidRDefault="007D7313">
            <w:pPr>
              <w:rPr>
                <w:sz w:val="20"/>
                <w:szCs w:val="20"/>
              </w:rPr>
            </w:pPr>
            <w:r w:rsidRPr="007D7313">
              <w:rPr>
                <w:b/>
                <w:bCs/>
                <w:sz w:val="20"/>
                <w:szCs w:val="20"/>
              </w:rPr>
              <w:t>Recommendation 11.15 Disability death review scheme requirement</w:t>
            </w:r>
            <w:r w:rsidR="000B5087">
              <w:rPr>
                <w:b/>
                <w:bCs/>
                <w:sz w:val="20"/>
                <w:szCs w:val="20"/>
              </w:rPr>
              <w:t xml:space="preserve"> </w:t>
            </w:r>
            <w:r w:rsidR="00381203" w:rsidRPr="00AF3899">
              <w:rPr>
                <w:sz w:val="20"/>
                <w:szCs w:val="20"/>
              </w:rPr>
              <w:t>Accept in Principle</w:t>
            </w:r>
            <w:r w:rsidR="00BB02E4">
              <w:rPr>
                <w:sz w:val="20"/>
                <w:szCs w:val="20"/>
              </w:rPr>
              <w:t>.</w:t>
            </w:r>
            <w:r w:rsidR="008B5367" w:rsidRPr="008B5367">
              <w:rPr>
                <w:b/>
                <w:bCs/>
                <w:sz w:val="20"/>
                <w:szCs w:val="20"/>
              </w:rPr>
              <w:t xml:space="preserve"> </w:t>
            </w:r>
            <w:r w:rsidR="008B5367" w:rsidRPr="008B5367">
              <w:rPr>
                <w:sz w:val="20"/>
                <w:szCs w:val="20"/>
              </w:rPr>
              <w:t>The ACT Government will review the death review scheme requirements and consider the most appropriate approaches to the implementation of a death review scheme in the territory. The ACT Human Rights Commission considers this recommendation supports the right to life and the right to equality under the Human Rights Act 2004 (ACT) and will be considered a protective function for ACT disability community members.</w:t>
            </w:r>
          </w:p>
          <w:p w14:paraId="731CC1A0" w14:textId="4B78C5B1" w:rsidR="00B83F07" w:rsidRPr="000B5087" w:rsidRDefault="00B83F07">
            <w:pPr>
              <w:rPr>
                <w:sz w:val="20"/>
                <w:szCs w:val="20"/>
                <w:lang w:val="en-US"/>
              </w:rPr>
            </w:pPr>
          </w:p>
        </w:tc>
        <w:tc>
          <w:tcPr>
            <w:tcW w:w="2410" w:type="dxa"/>
          </w:tcPr>
          <w:p w14:paraId="54B02818" w14:textId="77777777" w:rsidR="00DA5392" w:rsidRPr="00BB512B" w:rsidRDefault="00DA5392" w:rsidP="00DA5392">
            <w:pPr>
              <w:rPr>
                <w:b/>
                <w:color w:val="5B9BD5" w:themeColor="accent5"/>
                <w:sz w:val="20"/>
                <w:szCs w:val="2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512B">
              <w:rPr>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313D1E86" w14:textId="77777777" w:rsidR="00B83F07" w:rsidRPr="00B66AB0" w:rsidRDefault="00B83F07" w:rsidP="00792FE4">
            <w:pPr>
              <w:rPr>
                <w:sz w:val="20"/>
                <w:szCs w:val="20"/>
                <w:lang w:val="en-US"/>
              </w:rPr>
            </w:pPr>
          </w:p>
        </w:tc>
      </w:tr>
    </w:tbl>
    <w:p w14:paraId="7915BA90" w14:textId="5C031E4F" w:rsidR="2466FD73" w:rsidRDefault="2466FD73"/>
    <w:p w14:paraId="11495746" w14:textId="77777777" w:rsidR="00547847" w:rsidRPr="00B66AB0" w:rsidRDefault="00547847">
      <w:pPr>
        <w:rPr>
          <w:sz w:val="20"/>
          <w:szCs w:val="20"/>
          <w:lang w:val="en-US"/>
        </w:rPr>
      </w:pPr>
    </w:p>
    <w:sectPr w:rsidR="00547847" w:rsidRPr="00B66AB0" w:rsidSect="00B66AB0">
      <w:head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2010F" w14:textId="77777777" w:rsidR="00FA081E" w:rsidRDefault="00FA081E" w:rsidP="003446E3">
      <w:pPr>
        <w:spacing w:after="0" w:line="240" w:lineRule="auto"/>
      </w:pPr>
      <w:r>
        <w:separator/>
      </w:r>
    </w:p>
  </w:endnote>
  <w:endnote w:type="continuationSeparator" w:id="0">
    <w:p w14:paraId="14CD79D4" w14:textId="77777777" w:rsidR="00FA081E" w:rsidRDefault="00FA081E" w:rsidP="003446E3">
      <w:pPr>
        <w:spacing w:after="0" w:line="240" w:lineRule="auto"/>
      </w:pPr>
      <w:r>
        <w:continuationSeparator/>
      </w:r>
    </w:p>
  </w:endnote>
  <w:endnote w:type="continuationNotice" w:id="1">
    <w:p w14:paraId="62B7ACD5" w14:textId="77777777" w:rsidR="00FA081E" w:rsidRDefault="00FA0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F47F6" w14:textId="77777777" w:rsidR="00FA081E" w:rsidRDefault="00FA081E" w:rsidP="003446E3">
      <w:pPr>
        <w:spacing w:after="0" w:line="240" w:lineRule="auto"/>
      </w:pPr>
      <w:r>
        <w:separator/>
      </w:r>
    </w:p>
  </w:footnote>
  <w:footnote w:type="continuationSeparator" w:id="0">
    <w:p w14:paraId="53B47B51" w14:textId="77777777" w:rsidR="00FA081E" w:rsidRDefault="00FA081E" w:rsidP="003446E3">
      <w:pPr>
        <w:spacing w:after="0" w:line="240" w:lineRule="auto"/>
      </w:pPr>
      <w:r>
        <w:continuationSeparator/>
      </w:r>
    </w:p>
  </w:footnote>
  <w:footnote w:type="continuationNotice" w:id="1">
    <w:p w14:paraId="66928EFC" w14:textId="77777777" w:rsidR="00FA081E" w:rsidRDefault="00FA0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072A" w14:textId="77777777" w:rsidR="003446E3" w:rsidRDefault="003446E3" w:rsidP="003446E3">
    <w:pPr>
      <w:pStyle w:val="Header"/>
    </w:pPr>
    <w:r>
      <w:t>ACT and Commonwealth Government responses to the Royal Commission into Violence, Abuse, Neglect and Exploitation of People with Disability</w:t>
    </w:r>
  </w:p>
  <w:p w14:paraId="540ABDDC" w14:textId="31848DDB" w:rsidR="003446E3" w:rsidRDefault="003446E3" w:rsidP="003446E3">
    <w:pPr>
      <w:pStyle w:val="Header"/>
    </w:pPr>
    <w:r>
      <w:t>A scorecard from ACT Disability Organizations –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E12B5"/>
    <w:multiLevelType w:val="multilevel"/>
    <w:tmpl w:val="AA0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22E4A"/>
    <w:multiLevelType w:val="hybridMultilevel"/>
    <w:tmpl w:val="F28EE37C"/>
    <w:lvl w:ilvl="0" w:tplc="0C09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 w15:restartNumberingAfterBreak="0">
    <w:nsid w:val="4E961180"/>
    <w:multiLevelType w:val="hybridMultilevel"/>
    <w:tmpl w:val="11043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871A53"/>
    <w:multiLevelType w:val="hybridMultilevel"/>
    <w:tmpl w:val="2E7220E0"/>
    <w:lvl w:ilvl="0" w:tplc="0C090003">
      <w:start w:val="1"/>
      <w:numFmt w:val="bullet"/>
      <w:lvlText w:val="o"/>
      <w:lvlJc w:val="left"/>
      <w:pPr>
        <w:ind w:left="1483" w:hanging="360"/>
      </w:pPr>
      <w:rPr>
        <w:rFonts w:ascii="Courier New" w:hAnsi="Courier New" w:cs="Courier New" w:hint="default"/>
      </w:rPr>
    </w:lvl>
    <w:lvl w:ilvl="1" w:tplc="20000003" w:tentative="1">
      <w:start w:val="1"/>
      <w:numFmt w:val="bullet"/>
      <w:lvlText w:val="o"/>
      <w:lvlJc w:val="left"/>
      <w:pPr>
        <w:ind w:left="1483" w:hanging="360"/>
      </w:pPr>
      <w:rPr>
        <w:rFonts w:ascii="Courier New" w:hAnsi="Courier New" w:cs="Courier New" w:hint="default"/>
      </w:rPr>
    </w:lvl>
    <w:lvl w:ilvl="2" w:tplc="20000005" w:tentative="1">
      <w:start w:val="1"/>
      <w:numFmt w:val="bullet"/>
      <w:lvlText w:val=""/>
      <w:lvlJc w:val="left"/>
      <w:pPr>
        <w:ind w:left="2203" w:hanging="360"/>
      </w:pPr>
      <w:rPr>
        <w:rFonts w:ascii="Wingdings" w:hAnsi="Wingdings" w:hint="default"/>
      </w:rPr>
    </w:lvl>
    <w:lvl w:ilvl="3" w:tplc="20000001" w:tentative="1">
      <w:start w:val="1"/>
      <w:numFmt w:val="bullet"/>
      <w:lvlText w:val=""/>
      <w:lvlJc w:val="left"/>
      <w:pPr>
        <w:ind w:left="2923" w:hanging="360"/>
      </w:pPr>
      <w:rPr>
        <w:rFonts w:ascii="Symbol" w:hAnsi="Symbol" w:hint="default"/>
      </w:rPr>
    </w:lvl>
    <w:lvl w:ilvl="4" w:tplc="20000003" w:tentative="1">
      <w:start w:val="1"/>
      <w:numFmt w:val="bullet"/>
      <w:lvlText w:val="o"/>
      <w:lvlJc w:val="left"/>
      <w:pPr>
        <w:ind w:left="3643" w:hanging="360"/>
      </w:pPr>
      <w:rPr>
        <w:rFonts w:ascii="Courier New" w:hAnsi="Courier New" w:cs="Courier New" w:hint="default"/>
      </w:rPr>
    </w:lvl>
    <w:lvl w:ilvl="5" w:tplc="20000005" w:tentative="1">
      <w:start w:val="1"/>
      <w:numFmt w:val="bullet"/>
      <w:lvlText w:val=""/>
      <w:lvlJc w:val="left"/>
      <w:pPr>
        <w:ind w:left="4363" w:hanging="360"/>
      </w:pPr>
      <w:rPr>
        <w:rFonts w:ascii="Wingdings" w:hAnsi="Wingdings" w:hint="default"/>
      </w:rPr>
    </w:lvl>
    <w:lvl w:ilvl="6" w:tplc="20000001" w:tentative="1">
      <w:start w:val="1"/>
      <w:numFmt w:val="bullet"/>
      <w:lvlText w:val=""/>
      <w:lvlJc w:val="left"/>
      <w:pPr>
        <w:ind w:left="5083" w:hanging="360"/>
      </w:pPr>
      <w:rPr>
        <w:rFonts w:ascii="Symbol" w:hAnsi="Symbol" w:hint="default"/>
      </w:rPr>
    </w:lvl>
    <w:lvl w:ilvl="7" w:tplc="20000003" w:tentative="1">
      <w:start w:val="1"/>
      <w:numFmt w:val="bullet"/>
      <w:lvlText w:val="o"/>
      <w:lvlJc w:val="left"/>
      <w:pPr>
        <w:ind w:left="5803" w:hanging="360"/>
      </w:pPr>
      <w:rPr>
        <w:rFonts w:ascii="Courier New" w:hAnsi="Courier New" w:cs="Courier New" w:hint="default"/>
      </w:rPr>
    </w:lvl>
    <w:lvl w:ilvl="8" w:tplc="20000005" w:tentative="1">
      <w:start w:val="1"/>
      <w:numFmt w:val="bullet"/>
      <w:lvlText w:val=""/>
      <w:lvlJc w:val="left"/>
      <w:pPr>
        <w:ind w:left="6523" w:hanging="360"/>
      </w:pPr>
      <w:rPr>
        <w:rFonts w:ascii="Wingdings" w:hAnsi="Wingdings" w:hint="default"/>
      </w:rPr>
    </w:lvl>
  </w:abstractNum>
  <w:abstractNum w:abstractNumId="4" w15:restartNumberingAfterBreak="0">
    <w:nsid w:val="647B16FD"/>
    <w:multiLevelType w:val="hybridMultilevel"/>
    <w:tmpl w:val="DC3EF004"/>
    <w:lvl w:ilvl="0" w:tplc="CDAE3F04">
      <w:start w:val="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2237702">
    <w:abstractNumId w:val="2"/>
  </w:num>
  <w:num w:numId="2" w16cid:durableId="505095662">
    <w:abstractNumId w:val="4"/>
  </w:num>
  <w:num w:numId="3" w16cid:durableId="1369187096">
    <w:abstractNumId w:val="1"/>
  </w:num>
  <w:num w:numId="4" w16cid:durableId="100955148">
    <w:abstractNumId w:val="0"/>
  </w:num>
  <w:num w:numId="5" w16cid:durableId="1060596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47"/>
    <w:rsid w:val="000021F7"/>
    <w:rsid w:val="000026EA"/>
    <w:rsid w:val="00003384"/>
    <w:rsid w:val="00003918"/>
    <w:rsid w:val="00005440"/>
    <w:rsid w:val="000071EC"/>
    <w:rsid w:val="00010383"/>
    <w:rsid w:val="00011A29"/>
    <w:rsid w:val="000125D7"/>
    <w:rsid w:val="00012D3F"/>
    <w:rsid w:val="00013D4D"/>
    <w:rsid w:val="00020543"/>
    <w:rsid w:val="00020C4C"/>
    <w:rsid w:val="00021053"/>
    <w:rsid w:val="0002619B"/>
    <w:rsid w:val="00031BBF"/>
    <w:rsid w:val="0003310F"/>
    <w:rsid w:val="00037A25"/>
    <w:rsid w:val="00037E5E"/>
    <w:rsid w:val="0004132A"/>
    <w:rsid w:val="0004137C"/>
    <w:rsid w:val="000428E3"/>
    <w:rsid w:val="00042F6E"/>
    <w:rsid w:val="00043E54"/>
    <w:rsid w:val="000441C7"/>
    <w:rsid w:val="000444C5"/>
    <w:rsid w:val="000505E6"/>
    <w:rsid w:val="0005136B"/>
    <w:rsid w:val="00052817"/>
    <w:rsid w:val="00054C8E"/>
    <w:rsid w:val="0005605C"/>
    <w:rsid w:val="0006088D"/>
    <w:rsid w:val="00061221"/>
    <w:rsid w:val="0006235B"/>
    <w:rsid w:val="00063E1A"/>
    <w:rsid w:val="000650B7"/>
    <w:rsid w:val="00066A71"/>
    <w:rsid w:val="00070CCE"/>
    <w:rsid w:val="00071216"/>
    <w:rsid w:val="00077392"/>
    <w:rsid w:val="000819F0"/>
    <w:rsid w:val="00086B5C"/>
    <w:rsid w:val="0009061F"/>
    <w:rsid w:val="00092682"/>
    <w:rsid w:val="0009275E"/>
    <w:rsid w:val="0009381E"/>
    <w:rsid w:val="0009402C"/>
    <w:rsid w:val="000942E0"/>
    <w:rsid w:val="00094EAC"/>
    <w:rsid w:val="00095EEA"/>
    <w:rsid w:val="00096115"/>
    <w:rsid w:val="0009738D"/>
    <w:rsid w:val="0009759F"/>
    <w:rsid w:val="000A03BC"/>
    <w:rsid w:val="000A0C6F"/>
    <w:rsid w:val="000A266A"/>
    <w:rsid w:val="000A2DC3"/>
    <w:rsid w:val="000A4C9D"/>
    <w:rsid w:val="000A5074"/>
    <w:rsid w:val="000A5D2B"/>
    <w:rsid w:val="000A73E2"/>
    <w:rsid w:val="000B161C"/>
    <w:rsid w:val="000B2A48"/>
    <w:rsid w:val="000B5087"/>
    <w:rsid w:val="000B7098"/>
    <w:rsid w:val="000C0983"/>
    <w:rsid w:val="000C1053"/>
    <w:rsid w:val="000C1A89"/>
    <w:rsid w:val="000C23C7"/>
    <w:rsid w:val="000C3838"/>
    <w:rsid w:val="000C46D2"/>
    <w:rsid w:val="000C5437"/>
    <w:rsid w:val="000C6AAD"/>
    <w:rsid w:val="000D054E"/>
    <w:rsid w:val="000D1BAB"/>
    <w:rsid w:val="000D2CFA"/>
    <w:rsid w:val="000D2F5F"/>
    <w:rsid w:val="000D3353"/>
    <w:rsid w:val="000D376D"/>
    <w:rsid w:val="000D76FF"/>
    <w:rsid w:val="000E0655"/>
    <w:rsid w:val="000E1366"/>
    <w:rsid w:val="000E1FAF"/>
    <w:rsid w:val="000E3579"/>
    <w:rsid w:val="000E3BE0"/>
    <w:rsid w:val="000E4F6A"/>
    <w:rsid w:val="000E6BD4"/>
    <w:rsid w:val="000E7926"/>
    <w:rsid w:val="000E7E9A"/>
    <w:rsid w:val="000F00E5"/>
    <w:rsid w:val="000F38F5"/>
    <w:rsid w:val="000F55DB"/>
    <w:rsid w:val="000F576F"/>
    <w:rsid w:val="0010096E"/>
    <w:rsid w:val="00101B1A"/>
    <w:rsid w:val="00102BE1"/>
    <w:rsid w:val="001070D7"/>
    <w:rsid w:val="00114970"/>
    <w:rsid w:val="00114CF3"/>
    <w:rsid w:val="001168CF"/>
    <w:rsid w:val="00117F1C"/>
    <w:rsid w:val="00120490"/>
    <w:rsid w:val="00121780"/>
    <w:rsid w:val="00121B26"/>
    <w:rsid w:val="00122BCB"/>
    <w:rsid w:val="00124952"/>
    <w:rsid w:val="0012546D"/>
    <w:rsid w:val="0012589C"/>
    <w:rsid w:val="00125A7D"/>
    <w:rsid w:val="00133902"/>
    <w:rsid w:val="001339F1"/>
    <w:rsid w:val="00135609"/>
    <w:rsid w:val="001370A5"/>
    <w:rsid w:val="0013760E"/>
    <w:rsid w:val="00137B32"/>
    <w:rsid w:val="00141CE6"/>
    <w:rsid w:val="00141EB5"/>
    <w:rsid w:val="001436EA"/>
    <w:rsid w:val="001470B0"/>
    <w:rsid w:val="00150491"/>
    <w:rsid w:val="0015169D"/>
    <w:rsid w:val="00154EE7"/>
    <w:rsid w:val="00155D59"/>
    <w:rsid w:val="00155FDF"/>
    <w:rsid w:val="0015606D"/>
    <w:rsid w:val="001626FF"/>
    <w:rsid w:val="001639A5"/>
    <w:rsid w:val="00164BAD"/>
    <w:rsid w:val="0016707C"/>
    <w:rsid w:val="0017018D"/>
    <w:rsid w:val="00176A45"/>
    <w:rsid w:val="0017755A"/>
    <w:rsid w:val="0018507D"/>
    <w:rsid w:val="001858B9"/>
    <w:rsid w:val="00185EDF"/>
    <w:rsid w:val="00186D3B"/>
    <w:rsid w:val="001871EF"/>
    <w:rsid w:val="00191651"/>
    <w:rsid w:val="0019282E"/>
    <w:rsid w:val="00197231"/>
    <w:rsid w:val="00197C44"/>
    <w:rsid w:val="001A09BD"/>
    <w:rsid w:val="001A1807"/>
    <w:rsid w:val="001A1863"/>
    <w:rsid w:val="001A4E67"/>
    <w:rsid w:val="001B0A61"/>
    <w:rsid w:val="001B11F7"/>
    <w:rsid w:val="001B1B60"/>
    <w:rsid w:val="001B46D4"/>
    <w:rsid w:val="001B50E3"/>
    <w:rsid w:val="001B5B4C"/>
    <w:rsid w:val="001C11D5"/>
    <w:rsid w:val="001C2502"/>
    <w:rsid w:val="001C3503"/>
    <w:rsid w:val="001C5B42"/>
    <w:rsid w:val="001D1A0E"/>
    <w:rsid w:val="001D1EB5"/>
    <w:rsid w:val="001D2002"/>
    <w:rsid w:val="001D2637"/>
    <w:rsid w:val="001D29B3"/>
    <w:rsid w:val="001D5C82"/>
    <w:rsid w:val="001E3D56"/>
    <w:rsid w:val="001E4B77"/>
    <w:rsid w:val="001E4D3C"/>
    <w:rsid w:val="001E7B93"/>
    <w:rsid w:val="001F0EAA"/>
    <w:rsid w:val="001F0FA0"/>
    <w:rsid w:val="001F4F8D"/>
    <w:rsid w:val="001F5A47"/>
    <w:rsid w:val="00200CDD"/>
    <w:rsid w:val="00201A46"/>
    <w:rsid w:val="00203E81"/>
    <w:rsid w:val="002101BC"/>
    <w:rsid w:val="00213577"/>
    <w:rsid w:val="0021449E"/>
    <w:rsid w:val="0021470A"/>
    <w:rsid w:val="00214970"/>
    <w:rsid w:val="00217605"/>
    <w:rsid w:val="00224AD0"/>
    <w:rsid w:val="00224D3D"/>
    <w:rsid w:val="0023179B"/>
    <w:rsid w:val="002318C1"/>
    <w:rsid w:val="00233A48"/>
    <w:rsid w:val="00234731"/>
    <w:rsid w:val="002368DA"/>
    <w:rsid w:val="002379B0"/>
    <w:rsid w:val="0024183B"/>
    <w:rsid w:val="00243DA5"/>
    <w:rsid w:val="0024559D"/>
    <w:rsid w:val="0024747C"/>
    <w:rsid w:val="0025099F"/>
    <w:rsid w:val="00250A92"/>
    <w:rsid w:val="002543EF"/>
    <w:rsid w:val="002559A6"/>
    <w:rsid w:val="00256E0F"/>
    <w:rsid w:val="00266838"/>
    <w:rsid w:val="00270B70"/>
    <w:rsid w:val="002712D7"/>
    <w:rsid w:val="002749C2"/>
    <w:rsid w:val="0027511B"/>
    <w:rsid w:val="0028043B"/>
    <w:rsid w:val="00280BB6"/>
    <w:rsid w:val="00281C3E"/>
    <w:rsid w:val="00290C1C"/>
    <w:rsid w:val="002910D2"/>
    <w:rsid w:val="00291940"/>
    <w:rsid w:val="00291975"/>
    <w:rsid w:val="00291D1D"/>
    <w:rsid w:val="00293486"/>
    <w:rsid w:val="00293D93"/>
    <w:rsid w:val="002949E8"/>
    <w:rsid w:val="00295325"/>
    <w:rsid w:val="002A19DF"/>
    <w:rsid w:val="002A27CA"/>
    <w:rsid w:val="002A37DD"/>
    <w:rsid w:val="002A4CBF"/>
    <w:rsid w:val="002A58E2"/>
    <w:rsid w:val="002A668C"/>
    <w:rsid w:val="002A67C4"/>
    <w:rsid w:val="002B1D21"/>
    <w:rsid w:val="002B2A1C"/>
    <w:rsid w:val="002B44ED"/>
    <w:rsid w:val="002B6361"/>
    <w:rsid w:val="002B6829"/>
    <w:rsid w:val="002B6898"/>
    <w:rsid w:val="002B7652"/>
    <w:rsid w:val="002C3AB3"/>
    <w:rsid w:val="002C3D0A"/>
    <w:rsid w:val="002C42D5"/>
    <w:rsid w:val="002C4D8C"/>
    <w:rsid w:val="002C50E2"/>
    <w:rsid w:val="002C7236"/>
    <w:rsid w:val="002D296D"/>
    <w:rsid w:val="002D35B3"/>
    <w:rsid w:val="002D3CC1"/>
    <w:rsid w:val="002D42E2"/>
    <w:rsid w:val="002D62CF"/>
    <w:rsid w:val="002D7A02"/>
    <w:rsid w:val="002D7A15"/>
    <w:rsid w:val="002E1DA1"/>
    <w:rsid w:val="002E5FB3"/>
    <w:rsid w:val="002E6928"/>
    <w:rsid w:val="002F0179"/>
    <w:rsid w:val="002F0EA1"/>
    <w:rsid w:val="002F426B"/>
    <w:rsid w:val="002F57D3"/>
    <w:rsid w:val="002F5CC5"/>
    <w:rsid w:val="00305A22"/>
    <w:rsid w:val="0030628B"/>
    <w:rsid w:val="003062CC"/>
    <w:rsid w:val="00310AF2"/>
    <w:rsid w:val="003132B3"/>
    <w:rsid w:val="003139F5"/>
    <w:rsid w:val="00314064"/>
    <w:rsid w:val="00314FD4"/>
    <w:rsid w:val="003158AE"/>
    <w:rsid w:val="00315E2B"/>
    <w:rsid w:val="003171E3"/>
    <w:rsid w:val="0032035B"/>
    <w:rsid w:val="003256A6"/>
    <w:rsid w:val="00325C02"/>
    <w:rsid w:val="00326BFC"/>
    <w:rsid w:val="003278C9"/>
    <w:rsid w:val="00327F38"/>
    <w:rsid w:val="00332536"/>
    <w:rsid w:val="00332FBA"/>
    <w:rsid w:val="0033542D"/>
    <w:rsid w:val="0033547E"/>
    <w:rsid w:val="00340397"/>
    <w:rsid w:val="00341143"/>
    <w:rsid w:val="00343732"/>
    <w:rsid w:val="003446E3"/>
    <w:rsid w:val="003452B7"/>
    <w:rsid w:val="003471E1"/>
    <w:rsid w:val="00347DA5"/>
    <w:rsid w:val="003514E0"/>
    <w:rsid w:val="003529D5"/>
    <w:rsid w:val="00353805"/>
    <w:rsid w:val="00354809"/>
    <w:rsid w:val="00355365"/>
    <w:rsid w:val="0035664C"/>
    <w:rsid w:val="00361FBD"/>
    <w:rsid w:val="00363A4C"/>
    <w:rsid w:val="003663D8"/>
    <w:rsid w:val="003668E2"/>
    <w:rsid w:val="00372FF7"/>
    <w:rsid w:val="003738A9"/>
    <w:rsid w:val="00373B03"/>
    <w:rsid w:val="00375134"/>
    <w:rsid w:val="00375AA3"/>
    <w:rsid w:val="00381203"/>
    <w:rsid w:val="003833EA"/>
    <w:rsid w:val="00384643"/>
    <w:rsid w:val="0038715C"/>
    <w:rsid w:val="0039076E"/>
    <w:rsid w:val="00390CA8"/>
    <w:rsid w:val="00390E5C"/>
    <w:rsid w:val="003921CD"/>
    <w:rsid w:val="00393240"/>
    <w:rsid w:val="00394AA4"/>
    <w:rsid w:val="00395586"/>
    <w:rsid w:val="00395B23"/>
    <w:rsid w:val="00396189"/>
    <w:rsid w:val="003A3535"/>
    <w:rsid w:val="003A518C"/>
    <w:rsid w:val="003A5BD5"/>
    <w:rsid w:val="003A6F7C"/>
    <w:rsid w:val="003B0BFD"/>
    <w:rsid w:val="003B1C75"/>
    <w:rsid w:val="003B23A4"/>
    <w:rsid w:val="003B62B3"/>
    <w:rsid w:val="003B7398"/>
    <w:rsid w:val="003B762A"/>
    <w:rsid w:val="003C152E"/>
    <w:rsid w:val="003C275B"/>
    <w:rsid w:val="003C3EAB"/>
    <w:rsid w:val="003C4110"/>
    <w:rsid w:val="003C44A7"/>
    <w:rsid w:val="003C5305"/>
    <w:rsid w:val="003D000F"/>
    <w:rsid w:val="003D371A"/>
    <w:rsid w:val="003D3B0A"/>
    <w:rsid w:val="003D5331"/>
    <w:rsid w:val="003D5673"/>
    <w:rsid w:val="003D600D"/>
    <w:rsid w:val="003E2C2C"/>
    <w:rsid w:val="003E2E7A"/>
    <w:rsid w:val="003E38E5"/>
    <w:rsid w:val="003E4467"/>
    <w:rsid w:val="003E73D1"/>
    <w:rsid w:val="003F1B42"/>
    <w:rsid w:val="003F3010"/>
    <w:rsid w:val="003F44F9"/>
    <w:rsid w:val="003F6A8F"/>
    <w:rsid w:val="003F6E77"/>
    <w:rsid w:val="00402B0F"/>
    <w:rsid w:val="0040308C"/>
    <w:rsid w:val="00403CAA"/>
    <w:rsid w:val="00407AA8"/>
    <w:rsid w:val="00410C0D"/>
    <w:rsid w:val="004152C5"/>
    <w:rsid w:val="004165F4"/>
    <w:rsid w:val="00417A62"/>
    <w:rsid w:val="00422147"/>
    <w:rsid w:val="00422579"/>
    <w:rsid w:val="00423B06"/>
    <w:rsid w:val="00424197"/>
    <w:rsid w:val="00424BBC"/>
    <w:rsid w:val="00427910"/>
    <w:rsid w:val="0043017C"/>
    <w:rsid w:val="00430A99"/>
    <w:rsid w:val="00432180"/>
    <w:rsid w:val="0043335B"/>
    <w:rsid w:val="00433E93"/>
    <w:rsid w:val="00434059"/>
    <w:rsid w:val="0043525C"/>
    <w:rsid w:val="004352FC"/>
    <w:rsid w:val="004358C8"/>
    <w:rsid w:val="00437B38"/>
    <w:rsid w:val="0044079F"/>
    <w:rsid w:val="0044176D"/>
    <w:rsid w:val="004459C4"/>
    <w:rsid w:val="00452C14"/>
    <w:rsid w:val="00453608"/>
    <w:rsid w:val="00455C2E"/>
    <w:rsid w:val="004566ED"/>
    <w:rsid w:val="0045768A"/>
    <w:rsid w:val="004605EB"/>
    <w:rsid w:val="004609D4"/>
    <w:rsid w:val="004643CD"/>
    <w:rsid w:val="004646FF"/>
    <w:rsid w:val="00464C82"/>
    <w:rsid w:val="00465B4A"/>
    <w:rsid w:val="004666E9"/>
    <w:rsid w:val="00466BCC"/>
    <w:rsid w:val="00471AFB"/>
    <w:rsid w:val="0047330B"/>
    <w:rsid w:val="00480EA7"/>
    <w:rsid w:val="004812FA"/>
    <w:rsid w:val="00482DD9"/>
    <w:rsid w:val="00483427"/>
    <w:rsid w:val="0048382B"/>
    <w:rsid w:val="00484600"/>
    <w:rsid w:val="00484968"/>
    <w:rsid w:val="00484C74"/>
    <w:rsid w:val="004852FF"/>
    <w:rsid w:val="00490EC6"/>
    <w:rsid w:val="00493ED7"/>
    <w:rsid w:val="00494B5B"/>
    <w:rsid w:val="00495D86"/>
    <w:rsid w:val="004961B9"/>
    <w:rsid w:val="00497EFF"/>
    <w:rsid w:val="004A391A"/>
    <w:rsid w:val="004A4615"/>
    <w:rsid w:val="004A46E4"/>
    <w:rsid w:val="004A4C9D"/>
    <w:rsid w:val="004A524F"/>
    <w:rsid w:val="004B6A05"/>
    <w:rsid w:val="004B6AF3"/>
    <w:rsid w:val="004B7865"/>
    <w:rsid w:val="004B7974"/>
    <w:rsid w:val="004C67DD"/>
    <w:rsid w:val="004D1FBE"/>
    <w:rsid w:val="004D306D"/>
    <w:rsid w:val="004D4D27"/>
    <w:rsid w:val="004D6970"/>
    <w:rsid w:val="004D756E"/>
    <w:rsid w:val="004E1491"/>
    <w:rsid w:val="004E579D"/>
    <w:rsid w:val="004E7858"/>
    <w:rsid w:val="004F1A35"/>
    <w:rsid w:val="004F2740"/>
    <w:rsid w:val="004F4ECD"/>
    <w:rsid w:val="00500D84"/>
    <w:rsid w:val="00502A6A"/>
    <w:rsid w:val="00503161"/>
    <w:rsid w:val="005065C4"/>
    <w:rsid w:val="005070C4"/>
    <w:rsid w:val="00516489"/>
    <w:rsid w:val="00516A32"/>
    <w:rsid w:val="00517886"/>
    <w:rsid w:val="00517D6E"/>
    <w:rsid w:val="00522B4C"/>
    <w:rsid w:val="00522D7D"/>
    <w:rsid w:val="00522F44"/>
    <w:rsid w:val="00525476"/>
    <w:rsid w:val="005259BA"/>
    <w:rsid w:val="005308A5"/>
    <w:rsid w:val="00533016"/>
    <w:rsid w:val="00533211"/>
    <w:rsid w:val="00533459"/>
    <w:rsid w:val="00533758"/>
    <w:rsid w:val="00535B66"/>
    <w:rsid w:val="00535F6B"/>
    <w:rsid w:val="00542682"/>
    <w:rsid w:val="00543647"/>
    <w:rsid w:val="00546D30"/>
    <w:rsid w:val="00547847"/>
    <w:rsid w:val="00550CE6"/>
    <w:rsid w:val="00554935"/>
    <w:rsid w:val="00556704"/>
    <w:rsid w:val="00556840"/>
    <w:rsid w:val="00557B93"/>
    <w:rsid w:val="00560ECF"/>
    <w:rsid w:val="005612DB"/>
    <w:rsid w:val="0056169C"/>
    <w:rsid w:val="0056363B"/>
    <w:rsid w:val="00563C86"/>
    <w:rsid w:val="00564A68"/>
    <w:rsid w:val="00570584"/>
    <w:rsid w:val="005717A8"/>
    <w:rsid w:val="00580C45"/>
    <w:rsid w:val="00581A5F"/>
    <w:rsid w:val="00582707"/>
    <w:rsid w:val="00583830"/>
    <w:rsid w:val="00585213"/>
    <w:rsid w:val="00590880"/>
    <w:rsid w:val="00596267"/>
    <w:rsid w:val="00596935"/>
    <w:rsid w:val="005973F5"/>
    <w:rsid w:val="00597575"/>
    <w:rsid w:val="00597BBC"/>
    <w:rsid w:val="005A10F3"/>
    <w:rsid w:val="005A16F9"/>
    <w:rsid w:val="005A1C33"/>
    <w:rsid w:val="005A2AB8"/>
    <w:rsid w:val="005A3681"/>
    <w:rsid w:val="005A5827"/>
    <w:rsid w:val="005B0867"/>
    <w:rsid w:val="005B366D"/>
    <w:rsid w:val="005B4B53"/>
    <w:rsid w:val="005B6B04"/>
    <w:rsid w:val="005C001D"/>
    <w:rsid w:val="005C046A"/>
    <w:rsid w:val="005C0620"/>
    <w:rsid w:val="005C1999"/>
    <w:rsid w:val="005C214F"/>
    <w:rsid w:val="005C2D68"/>
    <w:rsid w:val="005C6B22"/>
    <w:rsid w:val="005D0073"/>
    <w:rsid w:val="005D03AD"/>
    <w:rsid w:val="005D09B7"/>
    <w:rsid w:val="005D5902"/>
    <w:rsid w:val="005D607B"/>
    <w:rsid w:val="005D6DC9"/>
    <w:rsid w:val="005E0F14"/>
    <w:rsid w:val="005E1D10"/>
    <w:rsid w:val="005E27DC"/>
    <w:rsid w:val="005E340E"/>
    <w:rsid w:val="005E4C31"/>
    <w:rsid w:val="005E51BC"/>
    <w:rsid w:val="005E5EA7"/>
    <w:rsid w:val="005F188F"/>
    <w:rsid w:val="005F28B6"/>
    <w:rsid w:val="005F7CFC"/>
    <w:rsid w:val="006032F4"/>
    <w:rsid w:val="0061016C"/>
    <w:rsid w:val="006113B2"/>
    <w:rsid w:val="00612E32"/>
    <w:rsid w:val="006132AB"/>
    <w:rsid w:val="006152AB"/>
    <w:rsid w:val="00627F57"/>
    <w:rsid w:val="00630AE2"/>
    <w:rsid w:val="00632648"/>
    <w:rsid w:val="00633F58"/>
    <w:rsid w:val="00634402"/>
    <w:rsid w:val="006348D4"/>
    <w:rsid w:val="0063604A"/>
    <w:rsid w:val="00636991"/>
    <w:rsid w:val="0063744A"/>
    <w:rsid w:val="006421E5"/>
    <w:rsid w:val="00643838"/>
    <w:rsid w:val="00643A51"/>
    <w:rsid w:val="006449A2"/>
    <w:rsid w:val="00645147"/>
    <w:rsid w:val="00650859"/>
    <w:rsid w:val="00650B89"/>
    <w:rsid w:val="00651A70"/>
    <w:rsid w:val="00651E13"/>
    <w:rsid w:val="00652322"/>
    <w:rsid w:val="0066099A"/>
    <w:rsid w:val="00660F48"/>
    <w:rsid w:val="00662CDE"/>
    <w:rsid w:val="00665E3C"/>
    <w:rsid w:val="00666B7A"/>
    <w:rsid w:val="0067084B"/>
    <w:rsid w:val="0067129B"/>
    <w:rsid w:val="00671C6C"/>
    <w:rsid w:val="00685939"/>
    <w:rsid w:val="00690495"/>
    <w:rsid w:val="0069261B"/>
    <w:rsid w:val="0069773E"/>
    <w:rsid w:val="006A0ABC"/>
    <w:rsid w:val="006A1732"/>
    <w:rsid w:val="006A5817"/>
    <w:rsid w:val="006A6908"/>
    <w:rsid w:val="006A7450"/>
    <w:rsid w:val="006B2250"/>
    <w:rsid w:val="006C0B14"/>
    <w:rsid w:val="006C1F9F"/>
    <w:rsid w:val="006C2914"/>
    <w:rsid w:val="006C361C"/>
    <w:rsid w:val="006C39CF"/>
    <w:rsid w:val="006C74FF"/>
    <w:rsid w:val="006D05E4"/>
    <w:rsid w:val="006D0B51"/>
    <w:rsid w:val="006D12F2"/>
    <w:rsid w:val="006D13A7"/>
    <w:rsid w:val="006D1E25"/>
    <w:rsid w:val="006D201A"/>
    <w:rsid w:val="006D29A0"/>
    <w:rsid w:val="006D34D6"/>
    <w:rsid w:val="006D537C"/>
    <w:rsid w:val="006D6494"/>
    <w:rsid w:val="006E021E"/>
    <w:rsid w:val="006E1732"/>
    <w:rsid w:val="006E259A"/>
    <w:rsid w:val="006E2751"/>
    <w:rsid w:val="006E4E21"/>
    <w:rsid w:val="006E7C44"/>
    <w:rsid w:val="006F7071"/>
    <w:rsid w:val="006F78C2"/>
    <w:rsid w:val="0070163E"/>
    <w:rsid w:val="00701DCB"/>
    <w:rsid w:val="00703024"/>
    <w:rsid w:val="00707A63"/>
    <w:rsid w:val="00707BF1"/>
    <w:rsid w:val="00707C5B"/>
    <w:rsid w:val="00711CBA"/>
    <w:rsid w:val="007125D9"/>
    <w:rsid w:val="007151CB"/>
    <w:rsid w:val="00720702"/>
    <w:rsid w:val="007217C9"/>
    <w:rsid w:val="00723BFC"/>
    <w:rsid w:val="00723DAC"/>
    <w:rsid w:val="0072543D"/>
    <w:rsid w:val="00725455"/>
    <w:rsid w:val="0073019C"/>
    <w:rsid w:val="00731929"/>
    <w:rsid w:val="00733308"/>
    <w:rsid w:val="00735514"/>
    <w:rsid w:val="00737C5A"/>
    <w:rsid w:val="00737E74"/>
    <w:rsid w:val="00743341"/>
    <w:rsid w:val="007459A2"/>
    <w:rsid w:val="00746C6C"/>
    <w:rsid w:val="00746F8E"/>
    <w:rsid w:val="00747263"/>
    <w:rsid w:val="00747A65"/>
    <w:rsid w:val="0075191A"/>
    <w:rsid w:val="007568D0"/>
    <w:rsid w:val="00756B04"/>
    <w:rsid w:val="007578A3"/>
    <w:rsid w:val="007633F0"/>
    <w:rsid w:val="007637F8"/>
    <w:rsid w:val="007647BF"/>
    <w:rsid w:val="00765A6A"/>
    <w:rsid w:val="00766EDC"/>
    <w:rsid w:val="007744AC"/>
    <w:rsid w:val="00780D13"/>
    <w:rsid w:val="007810A8"/>
    <w:rsid w:val="00782218"/>
    <w:rsid w:val="00786E9E"/>
    <w:rsid w:val="007910CB"/>
    <w:rsid w:val="00791726"/>
    <w:rsid w:val="00792FE4"/>
    <w:rsid w:val="00793AB9"/>
    <w:rsid w:val="007942A8"/>
    <w:rsid w:val="0079594D"/>
    <w:rsid w:val="007959BE"/>
    <w:rsid w:val="007966AC"/>
    <w:rsid w:val="00796E5B"/>
    <w:rsid w:val="0079792D"/>
    <w:rsid w:val="007A0FC7"/>
    <w:rsid w:val="007A778F"/>
    <w:rsid w:val="007A7F72"/>
    <w:rsid w:val="007B47D3"/>
    <w:rsid w:val="007C7D9E"/>
    <w:rsid w:val="007D1092"/>
    <w:rsid w:val="007D2801"/>
    <w:rsid w:val="007D3130"/>
    <w:rsid w:val="007D50E0"/>
    <w:rsid w:val="007D5A2A"/>
    <w:rsid w:val="007D5CAF"/>
    <w:rsid w:val="007D7313"/>
    <w:rsid w:val="007D7A29"/>
    <w:rsid w:val="007E04AF"/>
    <w:rsid w:val="007E0FD1"/>
    <w:rsid w:val="007E1330"/>
    <w:rsid w:val="007E574F"/>
    <w:rsid w:val="0080189C"/>
    <w:rsid w:val="00802AA9"/>
    <w:rsid w:val="0080426A"/>
    <w:rsid w:val="00804815"/>
    <w:rsid w:val="00804F83"/>
    <w:rsid w:val="00806B88"/>
    <w:rsid w:val="00806E67"/>
    <w:rsid w:val="00810DB3"/>
    <w:rsid w:val="00810EA5"/>
    <w:rsid w:val="00810ECF"/>
    <w:rsid w:val="008116E0"/>
    <w:rsid w:val="00811F5F"/>
    <w:rsid w:val="008145B9"/>
    <w:rsid w:val="00816AFF"/>
    <w:rsid w:val="00822684"/>
    <w:rsid w:val="008226E4"/>
    <w:rsid w:val="0082371F"/>
    <w:rsid w:val="00823B51"/>
    <w:rsid w:val="0082416E"/>
    <w:rsid w:val="00825369"/>
    <w:rsid w:val="00827716"/>
    <w:rsid w:val="0083097D"/>
    <w:rsid w:val="00832216"/>
    <w:rsid w:val="00832908"/>
    <w:rsid w:val="00835275"/>
    <w:rsid w:val="008414E3"/>
    <w:rsid w:val="00842049"/>
    <w:rsid w:val="008432C7"/>
    <w:rsid w:val="0084418E"/>
    <w:rsid w:val="00844546"/>
    <w:rsid w:val="00845B98"/>
    <w:rsid w:val="008523A7"/>
    <w:rsid w:val="008534E0"/>
    <w:rsid w:val="00853511"/>
    <w:rsid w:val="00854799"/>
    <w:rsid w:val="008577C2"/>
    <w:rsid w:val="00863E2F"/>
    <w:rsid w:val="008652A9"/>
    <w:rsid w:val="00866759"/>
    <w:rsid w:val="008673B7"/>
    <w:rsid w:val="008701FA"/>
    <w:rsid w:val="00871E95"/>
    <w:rsid w:val="00871F4A"/>
    <w:rsid w:val="0087283E"/>
    <w:rsid w:val="00874132"/>
    <w:rsid w:val="00874C2C"/>
    <w:rsid w:val="008750BF"/>
    <w:rsid w:val="00880EAD"/>
    <w:rsid w:val="00881C73"/>
    <w:rsid w:val="008822F0"/>
    <w:rsid w:val="00882FF0"/>
    <w:rsid w:val="00887299"/>
    <w:rsid w:val="00892256"/>
    <w:rsid w:val="00892FA7"/>
    <w:rsid w:val="008961B1"/>
    <w:rsid w:val="008A11F1"/>
    <w:rsid w:val="008A1CE7"/>
    <w:rsid w:val="008A1E61"/>
    <w:rsid w:val="008A1F04"/>
    <w:rsid w:val="008A25F9"/>
    <w:rsid w:val="008A3954"/>
    <w:rsid w:val="008A5412"/>
    <w:rsid w:val="008A7763"/>
    <w:rsid w:val="008B1F2E"/>
    <w:rsid w:val="008B266A"/>
    <w:rsid w:val="008B306F"/>
    <w:rsid w:val="008B3308"/>
    <w:rsid w:val="008B3FFF"/>
    <w:rsid w:val="008B5367"/>
    <w:rsid w:val="008B6E19"/>
    <w:rsid w:val="008C06FF"/>
    <w:rsid w:val="008C0846"/>
    <w:rsid w:val="008C1B24"/>
    <w:rsid w:val="008C658E"/>
    <w:rsid w:val="008D4336"/>
    <w:rsid w:val="008D60B3"/>
    <w:rsid w:val="008D7F53"/>
    <w:rsid w:val="008E3944"/>
    <w:rsid w:val="008F0497"/>
    <w:rsid w:val="008F1C15"/>
    <w:rsid w:val="008F2BE5"/>
    <w:rsid w:val="008F40FC"/>
    <w:rsid w:val="008F4810"/>
    <w:rsid w:val="008F5DF6"/>
    <w:rsid w:val="008F6B53"/>
    <w:rsid w:val="00901596"/>
    <w:rsid w:val="009029A0"/>
    <w:rsid w:val="00903012"/>
    <w:rsid w:val="00903440"/>
    <w:rsid w:val="00903823"/>
    <w:rsid w:val="00904311"/>
    <w:rsid w:val="00904A4B"/>
    <w:rsid w:val="00904F1C"/>
    <w:rsid w:val="00907F14"/>
    <w:rsid w:val="00910EFC"/>
    <w:rsid w:val="00912132"/>
    <w:rsid w:val="0091266F"/>
    <w:rsid w:val="0091771E"/>
    <w:rsid w:val="00917B6E"/>
    <w:rsid w:val="009205A0"/>
    <w:rsid w:val="009242B3"/>
    <w:rsid w:val="00925F75"/>
    <w:rsid w:val="0092653F"/>
    <w:rsid w:val="00926B8A"/>
    <w:rsid w:val="00931194"/>
    <w:rsid w:val="009314B8"/>
    <w:rsid w:val="00931CF9"/>
    <w:rsid w:val="009348BD"/>
    <w:rsid w:val="009349D1"/>
    <w:rsid w:val="00934F10"/>
    <w:rsid w:val="00935023"/>
    <w:rsid w:val="00935321"/>
    <w:rsid w:val="0093721F"/>
    <w:rsid w:val="009379BC"/>
    <w:rsid w:val="00937BAE"/>
    <w:rsid w:val="009428D9"/>
    <w:rsid w:val="00942E06"/>
    <w:rsid w:val="00942EC9"/>
    <w:rsid w:val="00945C81"/>
    <w:rsid w:val="00951CD1"/>
    <w:rsid w:val="00954ED2"/>
    <w:rsid w:val="00961ADA"/>
    <w:rsid w:val="0096496A"/>
    <w:rsid w:val="009657CB"/>
    <w:rsid w:val="00965A9B"/>
    <w:rsid w:val="00965B4D"/>
    <w:rsid w:val="00966608"/>
    <w:rsid w:val="00970EAC"/>
    <w:rsid w:val="0097104E"/>
    <w:rsid w:val="0097240C"/>
    <w:rsid w:val="00972933"/>
    <w:rsid w:val="00973197"/>
    <w:rsid w:val="0097344F"/>
    <w:rsid w:val="0097730D"/>
    <w:rsid w:val="00980949"/>
    <w:rsid w:val="00986676"/>
    <w:rsid w:val="00986B4B"/>
    <w:rsid w:val="0099226B"/>
    <w:rsid w:val="00995937"/>
    <w:rsid w:val="0099712E"/>
    <w:rsid w:val="0099792B"/>
    <w:rsid w:val="009A06A7"/>
    <w:rsid w:val="009A1248"/>
    <w:rsid w:val="009A1737"/>
    <w:rsid w:val="009A36C0"/>
    <w:rsid w:val="009A6E2D"/>
    <w:rsid w:val="009A75D8"/>
    <w:rsid w:val="009B1827"/>
    <w:rsid w:val="009B2BC4"/>
    <w:rsid w:val="009B39B0"/>
    <w:rsid w:val="009B3DF0"/>
    <w:rsid w:val="009B4765"/>
    <w:rsid w:val="009B584A"/>
    <w:rsid w:val="009B728A"/>
    <w:rsid w:val="009C19DD"/>
    <w:rsid w:val="009C3ABD"/>
    <w:rsid w:val="009C3FB4"/>
    <w:rsid w:val="009C48EC"/>
    <w:rsid w:val="009C6771"/>
    <w:rsid w:val="009C6CED"/>
    <w:rsid w:val="009D2CFB"/>
    <w:rsid w:val="009D2DA1"/>
    <w:rsid w:val="009D39FC"/>
    <w:rsid w:val="009D4046"/>
    <w:rsid w:val="009D7794"/>
    <w:rsid w:val="009D7F56"/>
    <w:rsid w:val="009E1B65"/>
    <w:rsid w:val="009E2F6D"/>
    <w:rsid w:val="009E5D01"/>
    <w:rsid w:val="009E7DC7"/>
    <w:rsid w:val="009F06E7"/>
    <w:rsid w:val="009F07DE"/>
    <w:rsid w:val="009F1B30"/>
    <w:rsid w:val="009F2827"/>
    <w:rsid w:val="009F4CFF"/>
    <w:rsid w:val="009F5F03"/>
    <w:rsid w:val="009F609B"/>
    <w:rsid w:val="009F6DEB"/>
    <w:rsid w:val="00A01AD2"/>
    <w:rsid w:val="00A03985"/>
    <w:rsid w:val="00A04E17"/>
    <w:rsid w:val="00A05618"/>
    <w:rsid w:val="00A06018"/>
    <w:rsid w:val="00A07C56"/>
    <w:rsid w:val="00A10B3D"/>
    <w:rsid w:val="00A10DA8"/>
    <w:rsid w:val="00A12106"/>
    <w:rsid w:val="00A126CF"/>
    <w:rsid w:val="00A12A57"/>
    <w:rsid w:val="00A12F33"/>
    <w:rsid w:val="00A1459E"/>
    <w:rsid w:val="00A15B08"/>
    <w:rsid w:val="00A16449"/>
    <w:rsid w:val="00A221A9"/>
    <w:rsid w:val="00A2280D"/>
    <w:rsid w:val="00A27E96"/>
    <w:rsid w:val="00A334D7"/>
    <w:rsid w:val="00A33AE6"/>
    <w:rsid w:val="00A34900"/>
    <w:rsid w:val="00A350E1"/>
    <w:rsid w:val="00A36480"/>
    <w:rsid w:val="00A37DCB"/>
    <w:rsid w:val="00A439D5"/>
    <w:rsid w:val="00A44299"/>
    <w:rsid w:val="00A45095"/>
    <w:rsid w:val="00A476FF"/>
    <w:rsid w:val="00A50136"/>
    <w:rsid w:val="00A52600"/>
    <w:rsid w:val="00A57B9E"/>
    <w:rsid w:val="00A6209B"/>
    <w:rsid w:val="00A645F6"/>
    <w:rsid w:val="00A6585A"/>
    <w:rsid w:val="00A6755E"/>
    <w:rsid w:val="00A67829"/>
    <w:rsid w:val="00A678A6"/>
    <w:rsid w:val="00A75BE1"/>
    <w:rsid w:val="00A83EDF"/>
    <w:rsid w:val="00A952DB"/>
    <w:rsid w:val="00A9559A"/>
    <w:rsid w:val="00A96498"/>
    <w:rsid w:val="00A97B95"/>
    <w:rsid w:val="00AA0E11"/>
    <w:rsid w:val="00AA1A8D"/>
    <w:rsid w:val="00AA1B33"/>
    <w:rsid w:val="00AA3BC5"/>
    <w:rsid w:val="00AA57B1"/>
    <w:rsid w:val="00AB7CE7"/>
    <w:rsid w:val="00AC06BC"/>
    <w:rsid w:val="00AC1A30"/>
    <w:rsid w:val="00AC205A"/>
    <w:rsid w:val="00AC289F"/>
    <w:rsid w:val="00AC3D4D"/>
    <w:rsid w:val="00AC6AF8"/>
    <w:rsid w:val="00AD4DA5"/>
    <w:rsid w:val="00AD574D"/>
    <w:rsid w:val="00AD647B"/>
    <w:rsid w:val="00AD6E55"/>
    <w:rsid w:val="00AE0F24"/>
    <w:rsid w:val="00AE1F0D"/>
    <w:rsid w:val="00AE2B4A"/>
    <w:rsid w:val="00AE54D5"/>
    <w:rsid w:val="00AE6225"/>
    <w:rsid w:val="00AE63EB"/>
    <w:rsid w:val="00AF0DE0"/>
    <w:rsid w:val="00AF162F"/>
    <w:rsid w:val="00AF3899"/>
    <w:rsid w:val="00AF4C6D"/>
    <w:rsid w:val="00AF601D"/>
    <w:rsid w:val="00AF6F88"/>
    <w:rsid w:val="00AF757E"/>
    <w:rsid w:val="00AF7A3C"/>
    <w:rsid w:val="00B00917"/>
    <w:rsid w:val="00B0127D"/>
    <w:rsid w:val="00B01B07"/>
    <w:rsid w:val="00B030C7"/>
    <w:rsid w:val="00B04C67"/>
    <w:rsid w:val="00B05318"/>
    <w:rsid w:val="00B13491"/>
    <w:rsid w:val="00B14C26"/>
    <w:rsid w:val="00B154D5"/>
    <w:rsid w:val="00B15A8E"/>
    <w:rsid w:val="00B21BD4"/>
    <w:rsid w:val="00B22911"/>
    <w:rsid w:val="00B256EE"/>
    <w:rsid w:val="00B25983"/>
    <w:rsid w:val="00B25EC8"/>
    <w:rsid w:val="00B31417"/>
    <w:rsid w:val="00B3340F"/>
    <w:rsid w:val="00B403C7"/>
    <w:rsid w:val="00B4071A"/>
    <w:rsid w:val="00B40893"/>
    <w:rsid w:val="00B42113"/>
    <w:rsid w:val="00B425BB"/>
    <w:rsid w:val="00B42BE8"/>
    <w:rsid w:val="00B43204"/>
    <w:rsid w:val="00B435AD"/>
    <w:rsid w:val="00B46E18"/>
    <w:rsid w:val="00B5121C"/>
    <w:rsid w:val="00B57EAA"/>
    <w:rsid w:val="00B62685"/>
    <w:rsid w:val="00B62802"/>
    <w:rsid w:val="00B66AB0"/>
    <w:rsid w:val="00B66EE2"/>
    <w:rsid w:val="00B7683F"/>
    <w:rsid w:val="00B806E9"/>
    <w:rsid w:val="00B81632"/>
    <w:rsid w:val="00B83714"/>
    <w:rsid w:val="00B83ADA"/>
    <w:rsid w:val="00B83F07"/>
    <w:rsid w:val="00B907F1"/>
    <w:rsid w:val="00B9166C"/>
    <w:rsid w:val="00B92633"/>
    <w:rsid w:val="00B92ABF"/>
    <w:rsid w:val="00B93CFA"/>
    <w:rsid w:val="00B9487C"/>
    <w:rsid w:val="00BA6D51"/>
    <w:rsid w:val="00BB02E4"/>
    <w:rsid w:val="00BB0591"/>
    <w:rsid w:val="00BB39C6"/>
    <w:rsid w:val="00BB3CAF"/>
    <w:rsid w:val="00BB512B"/>
    <w:rsid w:val="00BB66D5"/>
    <w:rsid w:val="00BB68BE"/>
    <w:rsid w:val="00BB6E14"/>
    <w:rsid w:val="00BC0467"/>
    <w:rsid w:val="00BC10E1"/>
    <w:rsid w:val="00BC28F5"/>
    <w:rsid w:val="00BC4674"/>
    <w:rsid w:val="00BC478C"/>
    <w:rsid w:val="00BC76C2"/>
    <w:rsid w:val="00BC7819"/>
    <w:rsid w:val="00BD0084"/>
    <w:rsid w:val="00BD6A28"/>
    <w:rsid w:val="00BD7365"/>
    <w:rsid w:val="00BE1AF8"/>
    <w:rsid w:val="00BE2013"/>
    <w:rsid w:val="00BE6162"/>
    <w:rsid w:val="00BF0C2B"/>
    <w:rsid w:val="00BF2E6B"/>
    <w:rsid w:val="00BF46F6"/>
    <w:rsid w:val="00BF4A22"/>
    <w:rsid w:val="00C00F7F"/>
    <w:rsid w:val="00C0325E"/>
    <w:rsid w:val="00C229FA"/>
    <w:rsid w:val="00C277AE"/>
    <w:rsid w:val="00C347B1"/>
    <w:rsid w:val="00C34FBF"/>
    <w:rsid w:val="00C35806"/>
    <w:rsid w:val="00C35A6E"/>
    <w:rsid w:val="00C362C1"/>
    <w:rsid w:val="00C37221"/>
    <w:rsid w:val="00C42C9A"/>
    <w:rsid w:val="00C443C4"/>
    <w:rsid w:val="00C4731F"/>
    <w:rsid w:val="00C4743E"/>
    <w:rsid w:val="00C512D3"/>
    <w:rsid w:val="00C5245E"/>
    <w:rsid w:val="00C52A57"/>
    <w:rsid w:val="00C54CA8"/>
    <w:rsid w:val="00C55988"/>
    <w:rsid w:val="00C562DE"/>
    <w:rsid w:val="00C5760D"/>
    <w:rsid w:val="00C6022E"/>
    <w:rsid w:val="00C60723"/>
    <w:rsid w:val="00C6415A"/>
    <w:rsid w:val="00C641DA"/>
    <w:rsid w:val="00C6500A"/>
    <w:rsid w:val="00C66BCB"/>
    <w:rsid w:val="00C711E8"/>
    <w:rsid w:val="00C71F13"/>
    <w:rsid w:val="00C729C4"/>
    <w:rsid w:val="00C72C32"/>
    <w:rsid w:val="00C73A80"/>
    <w:rsid w:val="00C745AD"/>
    <w:rsid w:val="00C74BA2"/>
    <w:rsid w:val="00C753DB"/>
    <w:rsid w:val="00C76366"/>
    <w:rsid w:val="00C76DE4"/>
    <w:rsid w:val="00C813F7"/>
    <w:rsid w:val="00C81E09"/>
    <w:rsid w:val="00C848F5"/>
    <w:rsid w:val="00C85051"/>
    <w:rsid w:val="00C86A01"/>
    <w:rsid w:val="00C86C1C"/>
    <w:rsid w:val="00C879AC"/>
    <w:rsid w:val="00C90D63"/>
    <w:rsid w:val="00C917C6"/>
    <w:rsid w:val="00C91866"/>
    <w:rsid w:val="00C9260A"/>
    <w:rsid w:val="00C928B3"/>
    <w:rsid w:val="00C94D05"/>
    <w:rsid w:val="00C94F79"/>
    <w:rsid w:val="00C95315"/>
    <w:rsid w:val="00C95964"/>
    <w:rsid w:val="00CA0761"/>
    <w:rsid w:val="00CA1B56"/>
    <w:rsid w:val="00CA1D1D"/>
    <w:rsid w:val="00CA4059"/>
    <w:rsid w:val="00CA7CC0"/>
    <w:rsid w:val="00CB011B"/>
    <w:rsid w:val="00CB1152"/>
    <w:rsid w:val="00CB13E3"/>
    <w:rsid w:val="00CB2F6F"/>
    <w:rsid w:val="00CB3CAA"/>
    <w:rsid w:val="00CB46DD"/>
    <w:rsid w:val="00CC0DA1"/>
    <w:rsid w:val="00CC1028"/>
    <w:rsid w:val="00CC49BB"/>
    <w:rsid w:val="00CC5857"/>
    <w:rsid w:val="00CD2869"/>
    <w:rsid w:val="00CD29DB"/>
    <w:rsid w:val="00CE056D"/>
    <w:rsid w:val="00CE3C27"/>
    <w:rsid w:val="00CE4855"/>
    <w:rsid w:val="00CE72F1"/>
    <w:rsid w:val="00CF0B65"/>
    <w:rsid w:val="00CF246C"/>
    <w:rsid w:val="00CF3AFD"/>
    <w:rsid w:val="00D02E53"/>
    <w:rsid w:val="00D046CB"/>
    <w:rsid w:val="00D05FF8"/>
    <w:rsid w:val="00D12931"/>
    <w:rsid w:val="00D13B01"/>
    <w:rsid w:val="00D150DA"/>
    <w:rsid w:val="00D200B6"/>
    <w:rsid w:val="00D20B48"/>
    <w:rsid w:val="00D21940"/>
    <w:rsid w:val="00D22AC1"/>
    <w:rsid w:val="00D23A86"/>
    <w:rsid w:val="00D243C6"/>
    <w:rsid w:val="00D25F5E"/>
    <w:rsid w:val="00D306F8"/>
    <w:rsid w:val="00D30816"/>
    <w:rsid w:val="00D32FC2"/>
    <w:rsid w:val="00D340CB"/>
    <w:rsid w:val="00D35616"/>
    <w:rsid w:val="00D373FE"/>
    <w:rsid w:val="00D40F53"/>
    <w:rsid w:val="00D42676"/>
    <w:rsid w:val="00D447FE"/>
    <w:rsid w:val="00D45D2B"/>
    <w:rsid w:val="00D46BC0"/>
    <w:rsid w:val="00D4709A"/>
    <w:rsid w:val="00D47724"/>
    <w:rsid w:val="00D5298E"/>
    <w:rsid w:val="00D64C2C"/>
    <w:rsid w:val="00D73A9A"/>
    <w:rsid w:val="00D73AA8"/>
    <w:rsid w:val="00D815ED"/>
    <w:rsid w:val="00D818C2"/>
    <w:rsid w:val="00D84315"/>
    <w:rsid w:val="00D847F6"/>
    <w:rsid w:val="00D867EE"/>
    <w:rsid w:val="00D87D20"/>
    <w:rsid w:val="00D91FF6"/>
    <w:rsid w:val="00D925E1"/>
    <w:rsid w:val="00D95FE3"/>
    <w:rsid w:val="00DA1822"/>
    <w:rsid w:val="00DA1CEA"/>
    <w:rsid w:val="00DA2364"/>
    <w:rsid w:val="00DA2756"/>
    <w:rsid w:val="00DA47CB"/>
    <w:rsid w:val="00DA5038"/>
    <w:rsid w:val="00DA5392"/>
    <w:rsid w:val="00DA5A7B"/>
    <w:rsid w:val="00DB27CC"/>
    <w:rsid w:val="00DB5CDA"/>
    <w:rsid w:val="00DC1EBE"/>
    <w:rsid w:val="00DC269A"/>
    <w:rsid w:val="00DC72FC"/>
    <w:rsid w:val="00DD3407"/>
    <w:rsid w:val="00DD3457"/>
    <w:rsid w:val="00DD5CE2"/>
    <w:rsid w:val="00DD6440"/>
    <w:rsid w:val="00DD797E"/>
    <w:rsid w:val="00DE1A78"/>
    <w:rsid w:val="00DE4107"/>
    <w:rsid w:val="00DF2CD2"/>
    <w:rsid w:val="00DF36CB"/>
    <w:rsid w:val="00DF38A4"/>
    <w:rsid w:val="00DF3CA6"/>
    <w:rsid w:val="00DF5991"/>
    <w:rsid w:val="00DF6607"/>
    <w:rsid w:val="00E010B8"/>
    <w:rsid w:val="00E01144"/>
    <w:rsid w:val="00E0428C"/>
    <w:rsid w:val="00E10BD1"/>
    <w:rsid w:val="00E12FB7"/>
    <w:rsid w:val="00E170FD"/>
    <w:rsid w:val="00E24366"/>
    <w:rsid w:val="00E2477E"/>
    <w:rsid w:val="00E3205D"/>
    <w:rsid w:val="00E40008"/>
    <w:rsid w:val="00E428A5"/>
    <w:rsid w:val="00E430E6"/>
    <w:rsid w:val="00E435F7"/>
    <w:rsid w:val="00E4435A"/>
    <w:rsid w:val="00E469D3"/>
    <w:rsid w:val="00E470DD"/>
    <w:rsid w:val="00E47508"/>
    <w:rsid w:val="00E511AF"/>
    <w:rsid w:val="00E52826"/>
    <w:rsid w:val="00E53414"/>
    <w:rsid w:val="00E54547"/>
    <w:rsid w:val="00E56455"/>
    <w:rsid w:val="00E62F17"/>
    <w:rsid w:val="00E6309F"/>
    <w:rsid w:val="00E641A8"/>
    <w:rsid w:val="00E70802"/>
    <w:rsid w:val="00E75378"/>
    <w:rsid w:val="00E77849"/>
    <w:rsid w:val="00E84BF8"/>
    <w:rsid w:val="00E85AE5"/>
    <w:rsid w:val="00E87115"/>
    <w:rsid w:val="00E87DC3"/>
    <w:rsid w:val="00E87ED2"/>
    <w:rsid w:val="00E9250C"/>
    <w:rsid w:val="00E94485"/>
    <w:rsid w:val="00E96AAB"/>
    <w:rsid w:val="00E97155"/>
    <w:rsid w:val="00E975ED"/>
    <w:rsid w:val="00EA1726"/>
    <w:rsid w:val="00EA18F4"/>
    <w:rsid w:val="00EA1F6D"/>
    <w:rsid w:val="00EA1FC6"/>
    <w:rsid w:val="00EA2B7A"/>
    <w:rsid w:val="00EA55AF"/>
    <w:rsid w:val="00EA6D2C"/>
    <w:rsid w:val="00EB328E"/>
    <w:rsid w:val="00EB34D7"/>
    <w:rsid w:val="00EB4834"/>
    <w:rsid w:val="00EB538C"/>
    <w:rsid w:val="00EC0379"/>
    <w:rsid w:val="00EC0E0C"/>
    <w:rsid w:val="00EC219C"/>
    <w:rsid w:val="00EC21C1"/>
    <w:rsid w:val="00EC2655"/>
    <w:rsid w:val="00EC60C9"/>
    <w:rsid w:val="00EC70E1"/>
    <w:rsid w:val="00EC7EA6"/>
    <w:rsid w:val="00ED31CC"/>
    <w:rsid w:val="00ED3E59"/>
    <w:rsid w:val="00ED466A"/>
    <w:rsid w:val="00ED7C0A"/>
    <w:rsid w:val="00ED7DCB"/>
    <w:rsid w:val="00EE0596"/>
    <w:rsid w:val="00EE3AB2"/>
    <w:rsid w:val="00EE3E1E"/>
    <w:rsid w:val="00EE5118"/>
    <w:rsid w:val="00EE5578"/>
    <w:rsid w:val="00EE6075"/>
    <w:rsid w:val="00EF02A7"/>
    <w:rsid w:val="00EF1C2D"/>
    <w:rsid w:val="00EF3391"/>
    <w:rsid w:val="00EF517C"/>
    <w:rsid w:val="00EF54E2"/>
    <w:rsid w:val="00EF6882"/>
    <w:rsid w:val="00F01DFA"/>
    <w:rsid w:val="00F047C7"/>
    <w:rsid w:val="00F0523F"/>
    <w:rsid w:val="00F06EFE"/>
    <w:rsid w:val="00F11C3A"/>
    <w:rsid w:val="00F124A8"/>
    <w:rsid w:val="00F130EF"/>
    <w:rsid w:val="00F1487E"/>
    <w:rsid w:val="00F153C2"/>
    <w:rsid w:val="00F15AF6"/>
    <w:rsid w:val="00F20917"/>
    <w:rsid w:val="00F21840"/>
    <w:rsid w:val="00F22F62"/>
    <w:rsid w:val="00F26241"/>
    <w:rsid w:val="00F26E2E"/>
    <w:rsid w:val="00F27873"/>
    <w:rsid w:val="00F30A10"/>
    <w:rsid w:val="00F31A56"/>
    <w:rsid w:val="00F331E5"/>
    <w:rsid w:val="00F347C4"/>
    <w:rsid w:val="00F35584"/>
    <w:rsid w:val="00F421BA"/>
    <w:rsid w:val="00F4545F"/>
    <w:rsid w:val="00F45956"/>
    <w:rsid w:val="00F459BF"/>
    <w:rsid w:val="00F468F0"/>
    <w:rsid w:val="00F473F9"/>
    <w:rsid w:val="00F47862"/>
    <w:rsid w:val="00F500F3"/>
    <w:rsid w:val="00F506BE"/>
    <w:rsid w:val="00F51E57"/>
    <w:rsid w:val="00F530C2"/>
    <w:rsid w:val="00F531BF"/>
    <w:rsid w:val="00F53671"/>
    <w:rsid w:val="00F579D4"/>
    <w:rsid w:val="00F607B9"/>
    <w:rsid w:val="00F614AA"/>
    <w:rsid w:val="00F62418"/>
    <w:rsid w:val="00F62628"/>
    <w:rsid w:val="00F62F3D"/>
    <w:rsid w:val="00F6394A"/>
    <w:rsid w:val="00F6791F"/>
    <w:rsid w:val="00F67EC4"/>
    <w:rsid w:val="00F720D8"/>
    <w:rsid w:val="00F7326A"/>
    <w:rsid w:val="00F75791"/>
    <w:rsid w:val="00F75913"/>
    <w:rsid w:val="00F76763"/>
    <w:rsid w:val="00F778AE"/>
    <w:rsid w:val="00F81B75"/>
    <w:rsid w:val="00F81BC5"/>
    <w:rsid w:val="00F81E50"/>
    <w:rsid w:val="00F8373E"/>
    <w:rsid w:val="00F8493C"/>
    <w:rsid w:val="00F86657"/>
    <w:rsid w:val="00F93191"/>
    <w:rsid w:val="00F94053"/>
    <w:rsid w:val="00F943B8"/>
    <w:rsid w:val="00F97E26"/>
    <w:rsid w:val="00FA081E"/>
    <w:rsid w:val="00FA428D"/>
    <w:rsid w:val="00FA4491"/>
    <w:rsid w:val="00FA6C6C"/>
    <w:rsid w:val="00FA6FE3"/>
    <w:rsid w:val="00FA7900"/>
    <w:rsid w:val="00FB099B"/>
    <w:rsid w:val="00FB0AF7"/>
    <w:rsid w:val="00FB1E92"/>
    <w:rsid w:val="00FB2A8B"/>
    <w:rsid w:val="00FB2CF9"/>
    <w:rsid w:val="00FB2E1A"/>
    <w:rsid w:val="00FB54E4"/>
    <w:rsid w:val="00FB7164"/>
    <w:rsid w:val="00FB71DD"/>
    <w:rsid w:val="00FC29AB"/>
    <w:rsid w:val="00FC5306"/>
    <w:rsid w:val="00FC5B9A"/>
    <w:rsid w:val="00FC6780"/>
    <w:rsid w:val="00FC69E2"/>
    <w:rsid w:val="00FD15F6"/>
    <w:rsid w:val="00FD5BBC"/>
    <w:rsid w:val="00FE0ADD"/>
    <w:rsid w:val="00FE13BB"/>
    <w:rsid w:val="00FE3057"/>
    <w:rsid w:val="00FE4745"/>
    <w:rsid w:val="00FE67A8"/>
    <w:rsid w:val="00FE6C25"/>
    <w:rsid w:val="00FE7501"/>
    <w:rsid w:val="00FE7901"/>
    <w:rsid w:val="00FE7CFF"/>
    <w:rsid w:val="00FF553C"/>
    <w:rsid w:val="00FF789B"/>
    <w:rsid w:val="2466FD73"/>
    <w:rsid w:val="6C590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E53D"/>
  <w15:chartTrackingRefBased/>
  <w15:docId w15:val="{EBAE2A5F-BA6A-4EB7-9D42-6BBCBBDE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7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78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78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78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7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78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78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78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78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7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847"/>
    <w:rPr>
      <w:rFonts w:eastAsiaTheme="majorEastAsia" w:cstheme="majorBidi"/>
      <w:color w:val="272727" w:themeColor="text1" w:themeTint="D8"/>
    </w:rPr>
  </w:style>
  <w:style w:type="paragraph" w:styleId="Title">
    <w:name w:val="Title"/>
    <w:basedOn w:val="Normal"/>
    <w:next w:val="Normal"/>
    <w:link w:val="TitleChar"/>
    <w:uiPriority w:val="10"/>
    <w:qFormat/>
    <w:rsid w:val="00547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847"/>
    <w:pPr>
      <w:spacing w:before="160"/>
      <w:jc w:val="center"/>
    </w:pPr>
    <w:rPr>
      <w:i/>
      <w:iCs/>
      <w:color w:val="404040" w:themeColor="text1" w:themeTint="BF"/>
    </w:rPr>
  </w:style>
  <w:style w:type="character" w:customStyle="1" w:styleId="QuoteChar">
    <w:name w:val="Quote Char"/>
    <w:basedOn w:val="DefaultParagraphFont"/>
    <w:link w:val="Quote"/>
    <w:uiPriority w:val="29"/>
    <w:rsid w:val="00547847"/>
    <w:rPr>
      <w:i/>
      <w:iCs/>
      <w:color w:val="404040" w:themeColor="text1" w:themeTint="BF"/>
    </w:rPr>
  </w:style>
  <w:style w:type="paragraph" w:styleId="ListParagraph">
    <w:name w:val="List Paragraph"/>
    <w:basedOn w:val="Normal"/>
    <w:uiPriority w:val="34"/>
    <w:qFormat/>
    <w:rsid w:val="00547847"/>
    <w:pPr>
      <w:ind w:left="720"/>
      <w:contextualSpacing/>
    </w:pPr>
  </w:style>
  <w:style w:type="character" w:styleId="IntenseEmphasis">
    <w:name w:val="Intense Emphasis"/>
    <w:basedOn w:val="DefaultParagraphFont"/>
    <w:uiPriority w:val="21"/>
    <w:qFormat/>
    <w:rsid w:val="00547847"/>
    <w:rPr>
      <w:i/>
      <w:iCs/>
      <w:color w:val="2F5496" w:themeColor="accent1" w:themeShade="BF"/>
    </w:rPr>
  </w:style>
  <w:style w:type="paragraph" w:styleId="IntenseQuote">
    <w:name w:val="Intense Quote"/>
    <w:basedOn w:val="Normal"/>
    <w:next w:val="Normal"/>
    <w:link w:val="IntenseQuoteChar"/>
    <w:uiPriority w:val="30"/>
    <w:qFormat/>
    <w:rsid w:val="00547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7847"/>
    <w:rPr>
      <w:i/>
      <w:iCs/>
      <w:color w:val="2F5496" w:themeColor="accent1" w:themeShade="BF"/>
    </w:rPr>
  </w:style>
  <w:style w:type="character" w:styleId="IntenseReference">
    <w:name w:val="Intense Reference"/>
    <w:basedOn w:val="DefaultParagraphFont"/>
    <w:uiPriority w:val="32"/>
    <w:qFormat/>
    <w:rsid w:val="00547847"/>
    <w:rPr>
      <w:b/>
      <w:bCs/>
      <w:smallCaps/>
      <w:color w:val="2F5496" w:themeColor="accent1" w:themeShade="BF"/>
      <w:spacing w:val="5"/>
    </w:rPr>
  </w:style>
  <w:style w:type="table" w:styleId="TableGrid">
    <w:name w:val="Table Grid"/>
    <w:basedOn w:val="TableNormal"/>
    <w:uiPriority w:val="39"/>
    <w:rsid w:val="0054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952"/>
    <w:rPr>
      <w:color w:val="0563C1" w:themeColor="hyperlink"/>
      <w:u w:val="single"/>
    </w:rPr>
  </w:style>
  <w:style w:type="character" w:styleId="UnresolvedMention">
    <w:name w:val="Unresolved Mention"/>
    <w:basedOn w:val="DefaultParagraphFont"/>
    <w:uiPriority w:val="99"/>
    <w:semiHidden/>
    <w:unhideWhenUsed/>
    <w:rsid w:val="00124952"/>
    <w:rPr>
      <w:color w:val="605E5C"/>
      <w:shd w:val="clear" w:color="auto" w:fill="E1DFDD"/>
    </w:rPr>
  </w:style>
  <w:style w:type="paragraph" w:styleId="Header">
    <w:name w:val="header"/>
    <w:basedOn w:val="Normal"/>
    <w:link w:val="HeaderChar"/>
    <w:uiPriority w:val="99"/>
    <w:unhideWhenUsed/>
    <w:rsid w:val="00344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6E3"/>
  </w:style>
  <w:style w:type="paragraph" w:styleId="Footer">
    <w:name w:val="footer"/>
    <w:basedOn w:val="Normal"/>
    <w:link w:val="FooterChar"/>
    <w:uiPriority w:val="99"/>
    <w:unhideWhenUsed/>
    <w:rsid w:val="00344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6E3"/>
  </w:style>
  <w:style w:type="character" w:customStyle="1" w:styleId="ui-provider">
    <w:name w:val="ui-provider"/>
    <w:basedOn w:val="DefaultParagraphFont"/>
    <w:rsid w:val="0080426A"/>
  </w:style>
  <w:style w:type="character" w:customStyle="1" w:styleId="normaltextrun">
    <w:name w:val="normaltextrun"/>
    <w:basedOn w:val="DefaultParagraphFont"/>
    <w:rsid w:val="0080426A"/>
    <w:rPr>
      <w:rFonts w:ascii="Times New Roman" w:eastAsia="Times New Roman" w:hAnsi="Times New Roman" w:cs="Times New Roman"/>
    </w:rPr>
  </w:style>
  <w:style w:type="paragraph" w:styleId="NormalWeb">
    <w:name w:val="Normal (Web)"/>
    <w:basedOn w:val="Normal"/>
    <w:uiPriority w:val="99"/>
    <w:semiHidden/>
    <w:unhideWhenUsed/>
    <w:rsid w:val="00F732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E1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123409">
      <w:bodyDiv w:val="1"/>
      <w:marLeft w:val="0"/>
      <w:marRight w:val="0"/>
      <w:marTop w:val="0"/>
      <w:marBottom w:val="0"/>
      <w:divBdr>
        <w:top w:val="none" w:sz="0" w:space="0" w:color="auto"/>
        <w:left w:val="none" w:sz="0" w:space="0" w:color="auto"/>
        <w:bottom w:val="none" w:sz="0" w:space="0" w:color="auto"/>
        <w:right w:val="none" w:sz="0" w:space="0" w:color="auto"/>
      </w:divBdr>
    </w:div>
    <w:div w:id="892232530">
      <w:bodyDiv w:val="1"/>
      <w:marLeft w:val="0"/>
      <w:marRight w:val="0"/>
      <w:marTop w:val="0"/>
      <w:marBottom w:val="0"/>
      <w:divBdr>
        <w:top w:val="none" w:sz="0" w:space="0" w:color="auto"/>
        <w:left w:val="none" w:sz="0" w:space="0" w:color="auto"/>
        <w:bottom w:val="none" w:sz="0" w:space="0" w:color="auto"/>
        <w:right w:val="none" w:sz="0" w:space="0" w:color="auto"/>
      </w:divBdr>
      <w:divsChild>
        <w:div w:id="298923603">
          <w:marLeft w:val="0"/>
          <w:marRight w:val="0"/>
          <w:marTop w:val="0"/>
          <w:marBottom w:val="0"/>
          <w:divBdr>
            <w:top w:val="none" w:sz="0" w:space="0" w:color="auto"/>
            <w:left w:val="none" w:sz="0" w:space="0" w:color="auto"/>
            <w:bottom w:val="none" w:sz="0" w:space="0" w:color="auto"/>
            <w:right w:val="none" w:sz="0" w:space="0" w:color="auto"/>
          </w:divBdr>
          <w:divsChild>
            <w:div w:id="250043239">
              <w:marLeft w:val="0"/>
              <w:marRight w:val="0"/>
              <w:marTop w:val="0"/>
              <w:marBottom w:val="0"/>
              <w:divBdr>
                <w:top w:val="none" w:sz="0" w:space="0" w:color="auto"/>
                <w:left w:val="none" w:sz="0" w:space="0" w:color="auto"/>
                <w:bottom w:val="none" w:sz="0" w:space="0" w:color="auto"/>
                <w:right w:val="none" w:sz="0" w:space="0" w:color="auto"/>
              </w:divBdr>
              <w:divsChild>
                <w:div w:id="1929073507">
                  <w:marLeft w:val="0"/>
                  <w:marRight w:val="0"/>
                  <w:marTop w:val="0"/>
                  <w:marBottom w:val="0"/>
                  <w:divBdr>
                    <w:top w:val="none" w:sz="0" w:space="0" w:color="auto"/>
                    <w:left w:val="none" w:sz="0" w:space="0" w:color="auto"/>
                    <w:bottom w:val="none" w:sz="0" w:space="0" w:color="auto"/>
                    <w:right w:val="none" w:sz="0" w:space="0" w:color="auto"/>
                  </w:divBdr>
                  <w:divsChild>
                    <w:div w:id="1756633900">
                      <w:marLeft w:val="0"/>
                      <w:marRight w:val="0"/>
                      <w:marTop w:val="0"/>
                      <w:marBottom w:val="0"/>
                      <w:divBdr>
                        <w:top w:val="none" w:sz="0" w:space="0" w:color="auto"/>
                        <w:left w:val="none" w:sz="0" w:space="0" w:color="auto"/>
                        <w:bottom w:val="none" w:sz="0" w:space="0" w:color="auto"/>
                        <w:right w:val="none" w:sz="0" w:space="0" w:color="auto"/>
                      </w:divBdr>
                      <w:divsChild>
                        <w:div w:id="1176773230">
                          <w:marLeft w:val="0"/>
                          <w:marRight w:val="0"/>
                          <w:marTop w:val="0"/>
                          <w:marBottom w:val="0"/>
                          <w:divBdr>
                            <w:top w:val="none" w:sz="0" w:space="0" w:color="auto"/>
                            <w:left w:val="none" w:sz="0" w:space="0" w:color="auto"/>
                            <w:bottom w:val="none" w:sz="0" w:space="0" w:color="auto"/>
                            <w:right w:val="none" w:sz="0" w:space="0" w:color="auto"/>
                          </w:divBdr>
                          <w:divsChild>
                            <w:div w:id="16371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21685">
      <w:bodyDiv w:val="1"/>
      <w:marLeft w:val="0"/>
      <w:marRight w:val="0"/>
      <w:marTop w:val="0"/>
      <w:marBottom w:val="0"/>
      <w:divBdr>
        <w:top w:val="none" w:sz="0" w:space="0" w:color="auto"/>
        <w:left w:val="none" w:sz="0" w:space="0" w:color="auto"/>
        <w:bottom w:val="none" w:sz="0" w:space="0" w:color="auto"/>
        <w:right w:val="none" w:sz="0" w:space="0" w:color="auto"/>
      </w:divBdr>
    </w:div>
    <w:div w:id="1086724874">
      <w:bodyDiv w:val="1"/>
      <w:marLeft w:val="0"/>
      <w:marRight w:val="0"/>
      <w:marTop w:val="0"/>
      <w:marBottom w:val="0"/>
      <w:divBdr>
        <w:top w:val="none" w:sz="0" w:space="0" w:color="auto"/>
        <w:left w:val="none" w:sz="0" w:space="0" w:color="auto"/>
        <w:bottom w:val="none" w:sz="0" w:space="0" w:color="auto"/>
        <w:right w:val="none" w:sz="0" w:space="0" w:color="auto"/>
      </w:divBdr>
    </w:div>
    <w:div w:id="1288396771">
      <w:bodyDiv w:val="1"/>
      <w:marLeft w:val="0"/>
      <w:marRight w:val="0"/>
      <w:marTop w:val="0"/>
      <w:marBottom w:val="0"/>
      <w:divBdr>
        <w:top w:val="none" w:sz="0" w:space="0" w:color="auto"/>
        <w:left w:val="none" w:sz="0" w:space="0" w:color="auto"/>
        <w:bottom w:val="none" w:sz="0" w:space="0" w:color="auto"/>
        <w:right w:val="none" w:sz="0" w:space="0" w:color="auto"/>
      </w:divBdr>
    </w:div>
    <w:div w:id="1575772707">
      <w:bodyDiv w:val="1"/>
      <w:marLeft w:val="0"/>
      <w:marRight w:val="0"/>
      <w:marTop w:val="0"/>
      <w:marBottom w:val="0"/>
      <w:divBdr>
        <w:top w:val="none" w:sz="0" w:space="0" w:color="auto"/>
        <w:left w:val="none" w:sz="0" w:space="0" w:color="auto"/>
        <w:bottom w:val="none" w:sz="0" w:space="0" w:color="auto"/>
        <w:right w:val="none" w:sz="0" w:space="0" w:color="auto"/>
      </w:divBdr>
    </w:div>
    <w:div w:id="1634209052">
      <w:bodyDiv w:val="1"/>
      <w:marLeft w:val="0"/>
      <w:marRight w:val="0"/>
      <w:marTop w:val="0"/>
      <w:marBottom w:val="0"/>
      <w:divBdr>
        <w:top w:val="none" w:sz="0" w:space="0" w:color="auto"/>
        <w:left w:val="none" w:sz="0" w:space="0" w:color="auto"/>
        <w:bottom w:val="none" w:sz="0" w:space="0" w:color="auto"/>
        <w:right w:val="none" w:sz="0" w:space="0" w:color="auto"/>
      </w:divBdr>
    </w:div>
    <w:div w:id="1774278317">
      <w:bodyDiv w:val="1"/>
      <w:marLeft w:val="0"/>
      <w:marRight w:val="0"/>
      <w:marTop w:val="0"/>
      <w:marBottom w:val="0"/>
      <w:divBdr>
        <w:top w:val="none" w:sz="0" w:space="0" w:color="auto"/>
        <w:left w:val="none" w:sz="0" w:space="0" w:color="auto"/>
        <w:bottom w:val="none" w:sz="0" w:space="0" w:color="auto"/>
        <w:right w:val="none" w:sz="0" w:space="0" w:color="auto"/>
      </w:divBdr>
      <w:divsChild>
        <w:div w:id="745496061">
          <w:marLeft w:val="0"/>
          <w:marRight w:val="0"/>
          <w:marTop w:val="0"/>
          <w:marBottom w:val="0"/>
          <w:divBdr>
            <w:top w:val="none" w:sz="0" w:space="0" w:color="auto"/>
            <w:left w:val="none" w:sz="0" w:space="0" w:color="auto"/>
            <w:bottom w:val="none" w:sz="0" w:space="0" w:color="auto"/>
            <w:right w:val="none" w:sz="0" w:space="0" w:color="auto"/>
          </w:divBdr>
          <w:divsChild>
            <w:div w:id="502740613">
              <w:marLeft w:val="0"/>
              <w:marRight w:val="0"/>
              <w:marTop w:val="0"/>
              <w:marBottom w:val="0"/>
              <w:divBdr>
                <w:top w:val="none" w:sz="0" w:space="0" w:color="auto"/>
                <w:left w:val="none" w:sz="0" w:space="0" w:color="auto"/>
                <w:bottom w:val="none" w:sz="0" w:space="0" w:color="auto"/>
                <w:right w:val="none" w:sz="0" w:space="0" w:color="auto"/>
              </w:divBdr>
              <w:divsChild>
                <w:div w:id="768545050">
                  <w:marLeft w:val="0"/>
                  <w:marRight w:val="0"/>
                  <w:marTop w:val="0"/>
                  <w:marBottom w:val="0"/>
                  <w:divBdr>
                    <w:top w:val="none" w:sz="0" w:space="0" w:color="auto"/>
                    <w:left w:val="none" w:sz="0" w:space="0" w:color="auto"/>
                    <w:bottom w:val="none" w:sz="0" w:space="0" w:color="auto"/>
                    <w:right w:val="none" w:sz="0" w:space="0" w:color="auto"/>
                  </w:divBdr>
                  <w:divsChild>
                    <w:div w:id="1384989245">
                      <w:marLeft w:val="0"/>
                      <w:marRight w:val="0"/>
                      <w:marTop w:val="0"/>
                      <w:marBottom w:val="0"/>
                      <w:divBdr>
                        <w:top w:val="none" w:sz="0" w:space="0" w:color="auto"/>
                        <w:left w:val="none" w:sz="0" w:space="0" w:color="auto"/>
                        <w:bottom w:val="none" w:sz="0" w:space="0" w:color="auto"/>
                        <w:right w:val="none" w:sz="0" w:space="0" w:color="auto"/>
                      </w:divBdr>
                      <w:divsChild>
                        <w:div w:id="1540586193">
                          <w:marLeft w:val="0"/>
                          <w:marRight w:val="0"/>
                          <w:marTop w:val="0"/>
                          <w:marBottom w:val="0"/>
                          <w:divBdr>
                            <w:top w:val="none" w:sz="0" w:space="0" w:color="auto"/>
                            <w:left w:val="none" w:sz="0" w:space="0" w:color="auto"/>
                            <w:bottom w:val="none" w:sz="0" w:space="0" w:color="auto"/>
                            <w:right w:val="none" w:sz="0" w:space="0" w:color="auto"/>
                          </w:divBdr>
                          <w:divsChild>
                            <w:div w:id="4952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9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ocacyforinclusion.org/wp-content/uploads/2024/03/Joint-ACT-DRC-statement-final-with-logos-updated-for-March-202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644DA-400E-4CE4-9450-B2360062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6651F-547A-49D1-A657-C29C631C54E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F2453E11-352A-45B7-A93A-5DCBEC570B9F}">
  <ds:schemaRefs>
    <ds:schemaRef ds:uri="http://schemas.openxmlformats.org/officeDocument/2006/bibliography"/>
  </ds:schemaRefs>
</ds:datastoreItem>
</file>

<file path=customXml/itemProps4.xml><?xml version="1.0" encoding="utf-8"?>
<ds:datastoreItem xmlns:ds="http://schemas.openxmlformats.org/officeDocument/2006/customXml" ds:itemID="{A65AD931-2B7F-44ED-9214-1420A1172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6736</Words>
  <Characters>40250</Characters>
  <Application>Microsoft Office Word</Application>
  <DocSecurity>0</DocSecurity>
  <Lines>900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46899</CharactersWithSpaces>
  <SharedDoc>false</SharedDoc>
  <HLinks>
    <vt:vector size="96" baseType="variant">
      <vt:variant>
        <vt:i4>6553700</vt:i4>
      </vt:variant>
      <vt:variant>
        <vt:i4>45</vt:i4>
      </vt:variant>
      <vt:variant>
        <vt:i4>0</vt:i4>
      </vt:variant>
      <vt:variant>
        <vt:i4>5</vt:i4>
      </vt:variant>
      <vt:variant>
        <vt:lpwstr/>
      </vt:variant>
      <vt:variant>
        <vt:lpwstr>DDR</vt:lpwstr>
      </vt:variant>
      <vt:variant>
        <vt:i4>1114124</vt:i4>
      </vt:variant>
      <vt:variant>
        <vt:i4>42</vt:i4>
      </vt:variant>
      <vt:variant>
        <vt:i4>0</vt:i4>
      </vt:variant>
      <vt:variant>
        <vt:i4>5</vt:i4>
      </vt:variant>
      <vt:variant>
        <vt:lpwstr/>
      </vt:variant>
      <vt:variant>
        <vt:lpwstr>OPCAT</vt:lpwstr>
      </vt:variant>
      <vt:variant>
        <vt:i4>7209062</vt:i4>
      </vt:variant>
      <vt:variant>
        <vt:i4>39</vt:i4>
      </vt:variant>
      <vt:variant>
        <vt:i4>0</vt:i4>
      </vt:variant>
      <vt:variant>
        <vt:i4>5</vt:i4>
      </vt:variant>
      <vt:variant>
        <vt:lpwstr/>
      </vt:variant>
      <vt:variant>
        <vt:lpwstr>FN</vt:lpwstr>
      </vt:variant>
      <vt:variant>
        <vt:i4>6422640</vt:i4>
      </vt:variant>
      <vt:variant>
        <vt:i4>36</vt:i4>
      </vt:variant>
      <vt:variant>
        <vt:i4>0</vt:i4>
      </vt:variant>
      <vt:variant>
        <vt:i4>5</vt:i4>
      </vt:variant>
      <vt:variant>
        <vt:lpwstr/>
      </vt:variant>
      <vt:variant>
        <vt:lpwstr>Justice</vt:lpwstr>
      </vt:variant>
      <vt:variant>
        <vt:i4>7471220</vt:i4>
      </vt:variant>
      <vt:variant>
        <vt:i4>33</vt:i4>
      </vt:variant>
      <vt:variant>
        <vt:i4>0</vt:i4>
      </vt:variant>
      <vt:variant>
        <vt:i4>5</vt:i4>
      </vt:variant>
      <vt:variant>
        <vt:lpwstr/>
      </vt:variant>
      <vt:variant>
        <vt:lpwstr>Housing</vt:lpwstr>
      </vt:variant>
      <vt:variant>
        <vt:i4>6881401</vt:i4>
      </vt:variant>
      <vt:variant>
        <vt:i4>30</vt:i4>
      </vt:variant>
      <vt:variant>
        <vt:i4>0</vt:i4>
      </vt:variant>
      <vt:variant>
        <vt:i4>5</vt:i4>
      </vt:variant>
      <vt:variant>
        <vt:lpwstr/>
      </vt:variant>
      <vt:variant>
        <vt:lpwstr>Employment</vt:lpwstr>
      </vt:variant>
      <vt:variant>
        <vt:i4>6553701</vt:i4>
      </vt:variant>
      <vt:variant>
        <vt:i4>27</vt:i4>
      </vt:variant>
      <vt:variant>
        <vt:i4>0</vt:i4>
      </vt:variant>
      <vt:variant>
        <vt:i4>5</vt:i4>
      </vt:variant>
      <vt:variant>
        <vt:lpwstr/>
      </vt:variant>
      <vt:variant>
        <vt:lpwstr>Ed</vt:lpwstr>
      </vt:variant>
      <vt:variant>
        <vt:i4>7340146</vt:i4>
      </vt:variant>
      <vt:variant>
        <vt:i4>24</vt:i4>
      </vt:variant>
      <vt:variant>
        <vt:i4>0</vt:i4>
      </vt:variant>
      <vt:variant>
        <vt:i4>5</vt:i4>
      </vt:variant>
      <vt:variant>
        <vt:lpwstr/>
      </vt:variant>
      <vt:variant>
        <vt:lpwstr>RP</vt:lpwstr>
      </vt:variant>
      <vt:variant>
        <vt:i4>6357117</vt:i4>
      </vt:variant>
      <vt:variant>
        <vt:i4>21</vt:i4>
      </vt:variant>
      <vt:variant>
        <vt:i4>0</vt:i4>
      </vt:variant>
      <vt:variant>
        <vt:i4>5</vt:i4>
      </vt:variant>
      <vt:variant>
        <vt:lpwstr/>
      </vt:variant>
      <vt:variant>
        <vt:lpwstr>Health</vt:lpwstr>
      </vt:variant>
      <vt:variant>
        <vt:i4>7798901</vt:i4>
      </vt:variant>
      <vt:variant>
        <vt:i4>18</vt:i4>
      </vt:variant>
      <vt:variant>
        <vt:i4>0</vt:i4>
      </vt:variant>
      <vt:variant>
        <vt:i4>5</vt:i4>
      </vt:variant>
      <vt:variant>
        <vt:lpwstr/>
      </vt:variant>
      <vt:variant>
        <vt:lpwstr>Information</vt:lpwstr>
      </vt:variant>
      <vt:variant>
        <vt:i4>7274593</vt:i4>
      </vt:variant>
      <vt:variant>
        <vt:i4>15</vt:i4>
      </vt:variant>
      <vt:variant>
        <vt:i4>0</vt:i4>
      </vt:variant>
      <vt:variant>
        <vt:i4>5</vt:i4>
      </vt:variant>
      <vt:variant>
        <vt:lpwstr/>
      </vt:variant>
      <vt:variant>
        <vt:lpwstr>Governance</vt:lpwstr>
      </vt:variant>
      <vt:variant>
        <vt:i4>2</vt:i4>
      </vt:variant>
      <vt:variant>
        <vt:i4>12</vt:i4>
      </vt:variant>
      <vt:variant>
        <vt:i4>0</vt:i4>
      </vt:variant>
      <vt:variant>
        <vt:i4>5</vt:i4>
      </vt:variant>
      <vt:variant>
        <vt:lpwstr/>
      </vt:variant>
      <vt:variant>
        <vt:lpwstr>Migration</vt:lpwstr>
      </vt:variant>
      <vt:variant>
        <vt:i4>1245207</vt:i4>
      </vt:variant>
      <vt:variant>
        <vt:i4>9</vt:i4>
      </vt:variant>
      <vt:variant>
        <vt:i4>0</vt:i4>
      </vt:variant>
      <vt:variant>
        <vt:i4>5</vt:i4>
      </vt:variant>
      <vt:variant>
        <vt:lpwstr/>
      </vt:variant>
      <vt:variant>
        <vt:lpwstr>Advocacy</vt:lpwstr>
      </vt:variant>
      <vt:variant>
        <vt:i4>1572889</vt:i4>
      </vt:variant>
      <vt:variant>
        <vt:i4>6</vt:i4>
      </vt:variant>
      <vt:variant>
        <vt:i4>0</vt:i4>
      </vt:variant>
      <vt:variant>
        <vt:i4>5</vt:i4>
      </vt:variant>
      <vt:variant>
        <vt:lpwstr/>
      </vt:variant>
      <vt:variant>
        <vt:lpwstr>Guardianship</vt:lpwstr>
      </vt:variant>
      <vt:variant>
        <vt:i4>6488172</vt:i4>
      </vt:variant>
      <vt:variant>
        <vt:i4>3</vt:i4>
      </vt:variant>
      <vt:variant>
        <vt:i4>0</vt:i4>
      </vt:variant>
      <vt:variant>
        <vt:i4>5</vt:i4>
      </vt:variant>
      <vt:variant>
        <vt:lpwstr/>
      </vt:variant>
      <vt:variant>
        <vt:lpwstr>LC</vt:lpwstr>
      </vt:variant>
      <vt:variant>
        <vt:i4>2031622</vt:i4>
      </vt:variant>
      <vt:variant>
        <vt:i4>0</vt:i4>
      </vt:variant>
      <vt:variant>
        <vt:i4>0</vt:i4>
      </vt:variant>
      <vt:variant>
        <vt:i4>5</vt:i4>
      </vt:variant>
      <vt:variant>
        <vt:lpwstr>https://www.advocacyforinclusion.org/wp-content/uploads/2024/03/Joint-ACT-DRC-statement-final-with-logos-updated-for-March-2024.docx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Carla Millner</cp:lastModifiedBy>
  <cp:revision>287</cp:revision>
  <dcterms:created xsi:type="dcterms:W3CDTF">2024-07-30T04:20:00Z</dcterms:created>
  <dcterms:modified xsi:type="dcterms:W3CDTF">2024-08-12T01:50:00Z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y fmtid="{D5CDD505-2E9C-101B-9397-08002B2CF9AE}" pid="4" name="GrammarlyDocumentId">
    <vt:lpwstr>548987a21c9562bfeb4739e4f246968c1011d00d2c223ae179e86fdc33f26a81</vt:lpwstr>
  </property>
</Properties>
</file>